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170"/>
        <w:ind w:hanging="0" w:left="0" w:right="0"/>
        <w:jc w:val="center"/>
        <w:rPr>
          <w:rFonts w:ascii="Times new roman" w:hAnsi="Times new roman"/>
          <w:sz w:val="28"/>
          <w:szCs w:val="28"/>
        </w:rPr>
      </w:pPr>
      <w:r>
        <w:rPr>
          <w:rFonts w:eastAsia="Calibri" w:cs="Times New Roman" w:ascii="Times new roman" w:hAnsi="Times new roman"/>
          <w:b/>
          <w:color w:val="000000"/>
          <w:sz w:val="28"/>
          <w:szCs w:val="28"/>
          <w:lang w:eastAsia="en-US"/>
        </w:rPr>
        <w:t>MODELO DE ATA DE REGISTRO DE PREÇOS</w:t>
      </w:r>
      <w:r>
        <w:rPr>
          <w:rFonts w:eastAsia="Calibri" w:cs="Arial" w:ascii="Times new roman" w:hAnsi="Times new roman"/>
          <w:b/>
          <w:bCs/>
          <w:color w:val="000000"/>
          <w:sz w:val="28"/>
          <w:szCs w:val="28"/>
          <w:lang w:eastAsia="en-US"/>
        </w:rPr>
        <w:t xml:space="preserve"> </w:t>
        <w:br/>
      </w:r>
      <w:r>
        <w:rPr>
          <w:rFonts w:eastAsia="Calibri" w:cs="Times New Roman" w:ascii="Times new roman" w:hAnsi="Times new roman"/>
          <w:b/>
          <w:color w:val="000000"/>
          <w:sz w:val="28"/>
          <w:szCs w:val="28"/>
          <w:lang w:eastAsia="en-US"/>
        </w:rPr>
        <w:t>Lei nº 14.133, de 1º de abril de 2021</w:t>
      </w:r>
    </w:p>
    <w:p>
      <w:pPr>
        <w:pStyle w:val="Normal"/>
        <w:spacing w:lineRule="auto" w:line="360" w:before="0" w:after="170"/>
        <w:ind w:hanging="0" w:left="0" w:right="0"/>
        <w:jc w:val="center"/>
        <w:rPr>
          <w:rFonts w:ascii="Times new roman" w:hAnsi="Times new roman"/>
          <w:sz w:val="28"/>
          <w:szCs w:val="28"/>
        </w:rPr>
      </w:pPr>
      <w:r>
        <w:rPr/>
        <w:drawing>
          <wp:inline distT="0" distB="0" distL="0" distR="0">
            <wp:extent cx="1081405" cy="1162685"/>
            <wp:effectExtent l="0" t="0" r="0" b="0"/>
            <wp:docPr id="1" name="image1.png" descr="Objeto 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Objeto OLE"/>
                    <pic:cNvPicPr>
                      <a:picLocks noChangeAspect="1" noChangeArrowheads="1"/>
                    </pic:cNvPicPr>
                  </pic:nvPicPr>
                  <pic:blipFill>
                    <a:blip r:embed="rId2"/>
                    <a:stretch>
                      <a:fillRect/>
                    </a:stretch>
                  </pic:blipFill>
                  <pic:spPr bwMode="auto">
                    <a:xfrm>
                      <a:off x="0" y="0"/>
                      <a:ext cx="1081405" cy="1162685"/>
                    </a:xfrm>
                    <a:prstGeom prst="rect">
                      <a:avLst/>
                    </a:prstGeom>
                    <a:noFill/>
                  </pic:spPr>
                </pic:pic>
              </a:graphicData>
            </a:graphic>
          </wp:inline>
        </w:drawing>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EXÉRCITO BRASILEIRO</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CMNE – 7a RM</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PARQUE REGIONAL DE MANUTENÇÃO/7</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(Pq R MB/7a RM/1947)</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PARQUE DE MANUTENÇÃO BATALHA DE CASA FORTE</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val="false"/>
          <w:bCs w:val="false"/>
          <w:color w:val="000000"/>
          <w:sz w:val="28"/>
          <w:szCs w:val="28"/>
        </w:rPr>
        <w:t>(Av. 17 de Agosto, 784, Casa Forte, Recife – PE, CEP 52.060-590)</w:t>
      </w:r>
    </w:p>
    <w:p>
      <w:pPr>
        <w:pStyle w:val="Normal"/>
        <w:spacing w:lineRule="auto" w:line="360" w:before="0" w:after="170"/>
        <w:ind w:hanging="0" w:left="0" w:right="0"/>
        <w:jc w:val="center"/>
        <w:rPr>
          <w:rFonts w:ascii="Times new roman" w:hAnsi="Times new roman"/>
          <w:sz w:val="28"/>
          <w:szCs w:val="28"/>
        </w:rPr>
      </w:pPr>
      <w:r>
        <w:rPr>
          <w:rFonts w:cs="Arial" w:ascii="Times new roman" w:hAnsi="Times new roman"/>
          <w:b/>
          <w:bCs/>
          <w:color w:val="000000"/>
          <w:sz w:val="28"/>
          <w:szCs w:val="28"/>
        </w:rPr>
        <w:t>PREGÃO ELETRÔNICO 90.0</w:t>
      </w:r>
      <w:r>
        <w:rPr>
          <w:rFonts w:cs="Arial" w:ascii="Times new roman" w:hAnsi="Times new roman"/>
          <w:b/>
          <w:bCs/>
          <w:color w:val="000000"/>
          <w:sz w:val="28"/>
          <w:szCs w:val="28"/>
        </w:rPr>
        <w:t>13</w:t>
      </w:r>
      <w:r>
        <w:rPr>
          <w:rFonts w:cs="Arial" w:ascii="Times new roman" w:hAnsi="Times new roman"/>
          <w:b/>
          <w:bCs/>
          <w:color w:val="000000"/>
          <w:sz w:val="28"/>
          <w:szCs w:val="28"/>
        </w:rPr>
        <w:t>/2025</w:t>
      </w:r>
    </w:p>
    <w:p>
      <w:pPr>
        <w:pStyle w:val="Normal"/>
        <w:numPr>
          <w:ilvl w:val="0"/>
          <w:numId w:val="0"/>
        </w:numPr>
        <w:spacing w:lineRule="auto" w:line="360" w:before="0" w:after="170"/>
        <w:ind w:hanging="0" w:left="0" w:right="0"/>
        <w:jc w:val="center"/>
        <w:rPr>
          <w:rFonts w:ascii="Times new roman" w:hAnsi="Times new roman"/>
          <w:sz w:val="28"/>
          <w:szCs w:val="28"/>
        </w:rPr>
      </w:pPr>
      <w:r>
        <w:rPr>
          <w:rFonts w:eastAsia="Calibri" w:cs="Arial" w:ascii="Times new roman" w:hAnsi="Times new roman"/>
          <w:b/>
          <w:bCs/>
          <w:i/>
          <w:iCs/>
          <w:color w:val="000000"/>
          <w:sz w:val="28"/>
          <w:szCs w:val="28"/>
          <w:lang w:eastAsia="en-US"/>
        </w:rPr>
        <w:t xml:space="preserve">(Processo Administrativo n° </w:t>
      </w:r>
      <w:r>
        <w:rPr>
          <w:rFonts w:eastAsia="Times New Roman" w:cs="Times New Roman" w:ascii="Times new roman" w:hAnsi="Times new roman"/>
          <w:b/>
          <w:bCs/>
          <w:i/>
          <w:iCs/>
          <w:color w:val="000000"/>
          <w:sz w:val="28"/>
          <w:szCs w:val="28"/>
          <w:shd w:fill="FFFFFF" w:val="clear"/>
          <w:lang w:eastAsia="en-US"/>
        </w:rPr>
        <w:t xml:space="preserve">  64621.000564/2026-65</w:t>
      </w:r>
      <w:r>
        <w:rPr>
          <w:rFonts w:eastAsia="Times New Roman" w:cs="Times New Roman" w:ascii="Times New Roman" w:hAnsi="Times New Roman"/>
          <w:b w:val="false"/>
          <w:bCs w:val="false"/>
          <w:i/>
          <w:iCs/>
          <w:color w:val="000000"/>
          <w:sz w:val="28"/>
          <w:szCs w:val="28"/>
          <w:shd w:fill="FFFFFF" w:val="clear"/>
          <w:lang w:val="pt-BR" w:eastAsia="en-US"/>
        </w:rPr>
        <w:t>.</w:t>
      </w:r>
    </w:p>
    <w:p>
      <w:pPr>
        <w:pStyle w:val="Normal"/>
        <w:spacing w:lineRule="auto" w:line="360" w:before="0" w:after="170"/>
        <w:ind w:hanging="0" w:left="0" w:right="0"/>
        <w:jc w:val="center"/>
        <w:rPr>
          <w:rFonts w:ascii="Times new roman" w:hAnsi="Times new roman"/>
          <w:sz w:val="28"/>
          <w:szCs w:val="28"/>
        </w:rPr>
      </w:pPr>
      <w:r>
        <w:rPr>
          <w:rFonts w:eastAsia="Calibri" w:cs="Arial" w:ascii="Times new roman" w:hAnsi="Times new roman"/>
          <w:color w:val="000000"/>
          <w:sz w:val="28"/>
          <w:szCs w:val="28"/>
          <w:lang w:eastAsia="en-US"/>
        </w:rPr>
        <w:t xml:space="preserve">Ata de Registro de Preços </w:t>
      </w:r>
      <w:r>
        <w:rPr>
          <w:rFonts w:eastAsia="Calibri" w:cs="Times New Roman" w:ascii="Times new roman" w:hAnsi="Times new roman"/>
          <w:color w:val="000000"/>
          <w:sz w:val="28"/>
          <w:szCs w:val="28"/>
          <w:lang w:eastAsia="en-US"/>
        </w:rPr>
        <w:t>nº</w:t>
      </w:r>
      <w:r>
        <w:rPr>
          <w:rFonts w:eastAsia="Calibri" w:cs="Arial" w:ascii="Times new roman" w:hAnsi="Times new roman"/>
          <w:color w:val="000000"/>
          <w:sz w:val="28"/>
          <w:szCs w:val="28"/>
          <w:lang w:eastAsia="en-US"/>
        </w:rPr>
        <w:t xml:space="preserve"> </w:t>
      </w:r>
      <w:r>
        <w:rPr>
          <w:rFonts w:eastAsia="Calibri" w:cs="Arial" w:ascii="Times new roman" w:hAnsi="Times new roman"/>
          <w:i/>
          <w:iCs/>
          <w:color w:val="FF0000"/>
          <w:sz w:val="28"/>
          <w:szCs w:val="28"/>
          <w:lang w:eastAsia="en-US"/>
        </w:rPr>
        <w:t>XX</w:t>
      </w:r>
      <w:r>
        <w:rPr>
          <w:rFonts w:eastAsia="Calibri" w:cs="Arial" w:ascii="Times new roman" w:hAnsi="Times new roman"/>
          <w:color w:val="000000"/>
          <w:sz w:val="28"/>
          <w:szCs w:val="28"/>
          <w:lang w:eastAsia="en-US"/>
        </w:rPr>
        <w:t>/</w:t>
      </w:r>
      <w:r>
        <w:rPr>
          <w:rFonts w:eastAsia="Calibri" w:cs="Arial" w:ascii="Times new roman" w:hAnsi="Times new roman"/>
          <w:i/>
          <w:iCs/>
          <w:color w:val="FF0000"/>
          <w:sz w:val="28"/>
          <w:szCs w:val="28"/>
          <w:lang w:eastAsia="en-US"/>
        </w:rPr>
        <w:t>XXXX</w:t>
      </w:r>
    </w:p>
    <w:p>
      <w:pPr>
        <w:pStyle w:val="Normal"/>
        <w:widowControl w:val="false"/>
        <w:tabs>
          <w:tab w:val="clear" w:pos="708"/>
          <w:tab w:val="center" w:pos="4779" w:leader="none"/>
          <w:tab w:val="right" w:pos="9198" w:leader="none"/>
        </w:tabs>
        <w:spacing w:lineRule="auto" w:line="240" w:before="0" w:after="170"/>
        <w:ind w:hanging="0" w:left="0" w:right="0"/>
        <w:jc w:val="both"/>
        <w:rPr>
          <w:rFonts w:ascii="Times new roman" w:hAnsi="Times new roman"/>
          <w:sz w:val="24"/>
          <w:szCs w:val="24"/>
        </w:rPr>
      </w:pPr>
      <w:r>
        <w:rPr>
          <w:rFonts w:cs="Arial" w:ascii="Times new roman" w:hAnsi="Times new roman"/>
          <w:sz w:val="24"/>
          <w:szCs w:val="24"/>
        </w:rPr>
        <w:t xml:space="preserve">O </w:t>
      </w:r>
      <w:r>
        <w:rPr>
          <w:rFonts w:cs="Arial" w:ascii="Times new roman" w:hAnsi="Times new roman"/>
          <w:b w:val="false"/>
          <w:bCs w:val="false"/>
          <w:color w:val="FF3333"/>
          <w:sz w:val="24"/>
          <w:szCs w:val="24"/>
        </w:rPr>
        <w:t>PARQUE REGIONAL DE MANUTENÇÃO/7</w:t>
      </w:r>
      <w:r>
        <w:rPr>
          <w:rFonts w:cs="Arial" w:ascii="Times new roman" w:hAnsi="Times new roman"/>
          <w:sz w:val="24"/>
          <w:szCs w:val="24"/>
        </w:rPr>
        <w:t xml:space="preserve">, com sede no </w:t>
      </w:r>
      <w:r>
        <w:rPr>
          <w:rFonts w:eastAsia="Times New Roman" w:cs="Arial" w:ascii="Times new roman" w:hAnsi="Times new roman"/>
          <w:color w:val="FF3333"/>
          <w:sz w:val="24"/>
          <w:szCs w:val="24"/>
        </w:rPr>
        <w:t>na Av. Dezessete de Agosto, 784, Casa Forte – Recife/PE</w:t>
      </w:r>
      <w:r>
        <w:rPr>
          <w:rFonts w:cs="Arial" w:ascii="Times new roman" w:hAnsi="Times new roman"/>
          <w:sz w:val="24"/>
          <w:szCs w:val="24"/>
        </w:rPr>
        <w:t xml:space="preserve"> no CNPJ/MF sob o nº </w:t>
      </w:r>
      <w:r>
        <w:rPr>
          <w:rFonts w:cs="Arial" w:ascii="Times new roman" w:hAnsi="Times new roman"/>
          <w:b/>
          <w:i w:val="false"/>
          <w:caps w:val="false"/>
          <w:smallCaps w:val="false"/>
          <w:color w:val="FF3333"/>
          <w:spacing w:val="0"/>
          <w:sz w:val="24"/>
          <w:szCs w:val="24"/>
        </w:rPr>
        <w:t>09.614.209/0001-10</w:t>
      </w:r>
      <w:r>
        <w:rPr>
          <w:rFonts w:cs="Arial" w:ascii="Times new roman" w:hAnsi="Times new roman"/>
          <w:sz w:val="24"/>
          <w:szCs w:val="24"/>
        </w:rPr>
        <w:t>, neste ato representado pelo</w:t>
      </w:r>
      <w:r>
        <w:rPr>
          <w:rFonts w:cs="Arial" w:ascii="Times new roman" w:hAnsi="Times new roman"/>
          <w:color w:val="FF3333"/>
          <w:sz w:val="24"/>
          <w:szCs w:val="24"/>
        </w:rPr>
        <w:t xml:space="preserve"> </w:t>
      </w:r>
      <w:r>
        <w:rPr>
          <w:b/>
          <w:bCs/>
          <w:color w:val="FF0000"/>
        </w:rPr>
        <w:t>JABIS</w:t>
      </w:r>
      <w:r>
        <w:rPr>
          <w:color w:val="FF0000"/>
        </w:rPr>
        <w:t xml:space="preserve"> PEREIRA DOS SANTOS FILHO</w:t>
      </w:r>
      <w:r>
        <w:rPr/>
        <w:t xml:space="preserve"> </w:t>
      </w:r>
      <w:r>
        <w:rPr>
          <w:rFonts w:cs="Arial" w:ascii="Times new roman" w:hAnsi="Times new roman"/>
          <w:color w:val="FF3333"/>
          <w:sz w:val="24"/>
          <w:szCs w:val="24"/>
        </w:rPr>
        <w:t>-</w:t>
      </w:r>
      <w:r>
        <w:rPr>
          <w:rFonts w:cs="Arial" w:ascii="Times new roman" w:hAnsi="Times new roman"/>
          <w:b/>
          <w:bCs/>
          <w:color w:val="FF3333"/>
          <w:sz w:val="24"/>
          <w:szCs w:val="24"/>
        </w:rPr>
        <w:t>TC</w:t>
      </w:r>
      <w:r>
        <w:rPr>
          <w:rFonts w:cs="Arial" w:ascii="Times new roman" w:hAnsi="Times new roman"/>
          <w:color w:val="FF3333"/>
          <w:sz w:val="24"/>
          <w:szCs w:val="24"/>
        </w:rPr>
        <w:t>, Diretor desta OM</w:t>
      </w:r>
      <w:r>
        <w:rPr>
          <w:rFonts w:cs="Arial" w:ascii="Times new roman" w:hAnsi="Times new roman"/>
          <w:sz w:val="24"/>
          <w:szCs w:val="24"/>
        </w:rPr>
        <w:t xml:space="preserve">, nomeado pela 03 PORTARIA - C Ex Nº 618, DE 22JMAIO2025,  portador da matrícula funcional nº xxxxx , considerando o julgamento da licitação na modalidade de pregão, na forma eletrônica, para REGISTRO DE PREÇOS nº 90013/2025, publicada no ...... de ...../...../202....., processo administrativo n.º ........, RESOLVE registrar os preços da(s)  empresa(s) indicada(s) e qualificada(s) nesta ATA, de acordo com a classificação por ela(s) alcançada(s) e na(s)  quantidade(s)  cotada(s), atendendo as condições previstas no </w:t>
      </w:r>
      <w:r>
        <w:rPr>
          <w:rFonts w:cs="Arial" w:ascii="Times new roman" w:hAnsi="Times new roman"/>
          <w:color w:val="FF0000"/>
          <w:sz w:val="24"/>
          <w:szCs w:val="24"/>
        </w:rPr>
        <w:t>Edital de licitação</w:t>
      </w:r>
      <w:r>
        <w:rPr>
          <w:rFonts w:cs="Arial" w:ascii="Times new roman" w:hAnsi="Times new roman"/>
          <w:sz w:val="24"/>
          <w:szCs w:val="24"/>
        </w:rPr>
        <w:t xml:space="preserve"> </w:t>
      </w:r>
      <w:r>
        <w:rPr>
          <w:rFonts w:cs="Arial" w:ascii="Times new roman" w:hAnsi="Times new roman"/>
          <w:color w:val="FF0000"/>
          <w:sz w:val="24"/>
          <w:szCs w:val="24"/>
        </w:rPr>
        <w:t>ou Aviso da Contratação Direta</w:t>
      </w:r>
      <w:r>
        <w:rPr>
          <w:rFonts w:cs="Arial" w:ascii="Times new roman" w:hAnsi="Times new roman"/>
          <w:sz w:val="24"/>
          <w:szCs w:val="24"/>
        </w:rPr>
        <w:t>, sujeitando-se as partes às normas constantes na Lei nº 14.133, de 1º de abril de 2021, no Decreto n.º 11.462, de 31 de março de 2023, e em conformidade com as disposições a seguir:</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DO OBJETO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presente Ata tem por objeto o registro de preços para a eventual contratação de</w:t>
      </w:r>
      <w:r>
        <w:rPr>
          <w:rFonts w:eastAsia="Arial" w:ascii="Times new roman" w:hAnsi="Times new roman"/>
          <w:i/>
          <w:iCs/>
          <w:color w:val="FF0000"/>
          <w:sz w:val="28"/>
          <w:szCs w:val="28"/>
        </w:rPr>
        <w:t xml:space="preserve">  Insumos para fosfatização/manutenção corretiva em armamentos </w:t>
      </w:r>
      <w:r>
        <w:rPr>
          <w:rFonts w:eastAsia="Arial" w:cs="Arial" w:ascii="Times new roman" w:hAnsi="Times new roman"/>
          <w:i/>
          <w:iCs/>
          <w:strike w:val="false"/>
          <w:dstrike w:val="false"/>
          <w:color w:val="3465A4"/>
          <w:kern w:val="0"/>
          <w:sz w:val="28"/>
          <w:szCs w:val="28"/>
          <w:shd w:fill="FFFFFF" w:val="clear"/>
          <w:lang w:val="pt-BR" w:eastAsia="pt-BR" w:bidi="ar-SA"/>
        </w:rPr>
        <w:t xml:space="preserve"> nos termos da tabela abaixo, conforme condições e exigências estabelecidas neste instrumento. </w:t>
      </w:r>
      <w:r>
        <w:rPr>
          <w:rFonts w:ascii="Times new roman" w:hAnsi="Times new roman"/>
          <w:color w:val="3465A4"/>
          <w:sz w:val="28"/>
          <w:szCs w:val="28"/>
        </w:rPr>
        <w:t xml:space="preserve">, especificado(s) nos itens </w:t>
      </w:r>
      <w:r>
        <w:rPr>
          <w:rFonts w:ascii="Times new roman" w:hAnsi="Times new roman"/>
          <w:i/>
          <w:iCs/>
          <w:color w:val="3465A4"/>
          <w:sz w:val="28"/>
          <w:szCs w:val="28"/>
        </w:rPr>
        <w:t xml:space="preserve"> </w:t>
      </w:r>
      <w:r>
        <w:rPr>
          <w:rFonts w:ascii="Times new roman" w:hAnsi="Times new roman"/>
          <w:color w:val="3465A4"/>
          <w:sz w:val="28"/>
          <w:szCs w:val="28"/>
        </w:rPr>
        <w:t xml:space="preserve">do Termo de Referência, anexo </w:t>
      </w:r>
      <w:r>
        <w:rPr>
          <w:rFonts w:ascii="Times new roman" w:hAnsi="Times new roman"/>
          <w:i/>
          <w:iCs/>
          <w:color w:val="3465A4"/>
          <w:sz w:val="28"/>
          <w:szCs w:val="28"/>
        </w:rPr>
        <w:t xml:space="preserve"> </w:t>
      </w:r>
      <w:r>
        <w:rPr>
          <w:rFonts w:ascii="Times new roman" w:hAnsi="Times new roman"/>
          <w:iCs/>
          <w:color w:val="3465A4"/>
          <w:sz w:val="28"/>
          <w:szCs w:val="28"/>
        </w:rPr>
        <w:t>do</w:t>
      </w:r>
      <w:r>
        <w:rPr>
          <w:rFonts w:ascii="Times new roman" w:hAnsi="Times new roman"/>
          <w:i/>
          <w:color w:val="3465A4"/>
          <w:sz w:val="28"/>
          <w:szCs w:val="28"/>
        </w:rPr>
        <w:t xml:space="preserve"> edital de licitação</w:t>
      </w:r>
      <w:r>
        <w:rPr>
          <w:rFonts w:ascii="Times new roman" w:hAnsi="Times new roman"/>
          <w:color w:val="3465A4"/>
          <w:sz w:val="28"/>
          <w:szCs w:val="28"/>
        </w:rPr>
        <w:t xml:space="preserve"> que é parte integrante desta Ata, assim como as propostas cujos preços tenham sido registrados, independentemente de transcrição.</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DOS PREÇOS, ESPECIFICAÇÕES E QUANTITATIVOS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1019"/>
        <w:gridCol w:w="2386"/>
        <w:gridCol w:w="841"/>
        <w:gridCol w:w="914"/>
        <w:gridCol w:w="1186"/>
        <w:gridCol w:w="1363"/>
        <w:gridCol w:w="839"/>
        <w:gridCol w:w="842"/>
      </w:tblGrid>
      <w:tr>
        <w:trPr>
          <w:trHeight w:val="511" w:hRule="atLeast"/>
        </w:trPr>
        <w:tc>
          <w:tcPr>
            <w:tcW w:w="1019"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Item</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do</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TR</w:t>
            </w:r>
          </w:p>
        </w:tc>
        <w:tc>
          <w:tcPr>
            <w:tcW w:w="8371" w:type="dxa"/>
            <w:gridSpan w:val="7"/>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 xml:space="preserve">Fornecedor </w:t>
              <w:br/>
            </w:r>
            <w:r>
              <w:rPr>
                <w:rFonts w:cs="Arial" w:ascii="Times new roman" w:hAnsi="Times new roman"/>
                <w:i/>
                <w:color w:val="FF0000"/>
                <w:sz w:val="28"/>
                <w:szCs w:val="28"/>
              </w:rPr>
              <w:t>[razão social, CNPJ/MF, endereço, contatos, representante]</w:t>
            </w:r>
          </w:p>
        </w:tc>
      </w:tr>
      <w:tr>
        <w:trPr>
          <w:trHeight w:val="674" w:hRule="atLeast"/>
        </w:trPr>
        <w:tc>
          <w:tcPr>
            <w:tcW w:w="1019" w:type="dxa"/>
            <w:tcBorders>
              <w:left w:val="single" w:sz="2" w:space="0" w:color="000000"/>
              <w:bottom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X</w:t>
            </w:r>
          </w:p>
        </w:tc>
        <w:tc>
          <w:tcPr>
            <w:tcW w:w="2386"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Especificação</w:t>
            </w:r>
          </w:p>
        </w:tc>
        <w:tc>
          <w:tcPr>
            <w:tcW w:w="841"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Marca</w:t>
            </w:r>
          </w:p>
          <w:p>
            <w:pPr>
              <w:pStyle w:val="Normal"/>
              <w:widowControl w:val="false"/>
              <w:spacing w:lineRule="auto" w:line="360" w:before="0" w:after="170"/>
              <w:ind w:hanging="0" w:left="0" w:right="0"/>
              <w:jc w:val="center"/>
              <w:rPr>
                <w:rFonts w:cs="Arial"/>
                <w:i/>
                <w:i/>
                <w:iCs/>
                <w:color w:val="FF0000"/>
              </w:rPr>
            </w:pPr>
            <w:r>
              <w:rPr>
                <w:rFonts w:cs="Arial"/>
                <w:i/>
                <w:iCs/>
                <w:color w:val="FF0000"/>
              </w:rPr>
            </w:r>
          </w:p>
        </w:tc>
        <w:tc>
          <w:tcPr>
            <w:tcW w:w="914"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Modelo</w:t>
            </w:r>
          </w:p>
          <w:p>
            <w:pPr>
              <w:pStyle w:val="Normal"/>
              <w:widowControl w:val="false"/>
              <w:spacing w:lineRule="auto" w:line="360" w:before="0" w:after="170"/>
              <w:ind w:hanging="0" w:left="0" w:right="0"/>
              <w:jc w:val="center"/>
              <w:rPr>
                <w:rFonts w:cs="Arial"/>
                <w:i/>
                <w:i/>
                <w:iCs/>
                <w:color w:val="FF0000"/>
              </w:rPr>
            </w:pPr>
            <w:r>
              <w:rPr>
                <w:rFonts w:cs="Arial"/>
                <w:i/>
                <w:iCs/>
                <w:color w:val="FF0000"/>
              </w:rPr>
            </w:r>
          </w:p>
        </w:tc>
        <w:tc>
          <w:tcPr>
            <w:tcW w:w="1186"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Unidade</w:t>
            </w:r>
          </w:p>
        </w:tc>
        <w:tc>
          <w:tcPr>
            <w:tcW w:w="136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Quantidade</w:t>
              <w:br/>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Valor</w:t>
              <w:br/>
              <w:t>Unt</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Prazo</w:t>
            </w:r>
          </w:p>
        </w:tc>
      </w:tr>
      <w:tr>
        <w:trPr>
          <w:trHeight w:val="174" w:hRule="atLeast"/>
        </w:trPr>
        <w:tc>
          <w:tcPr>
            <w:tcW w:w="101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2386"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1"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914"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186"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36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r>
    </w:tbl>
    <w:p>
      <w:pPr>
        <w:pStyle w:val="Normal"/>
        <w:spacing w:lineRule="auto" w:line="360" w:before="0" w:after="170"/>
        <w:ind w:hanging="0" w:left="0" w:right="0"/>
        <w:rPr>
          <w:rFonts w:ascii="Times new roman" w:hAnsi="Times new roman" w:cs="Arial"/>
          <w:sz w:val="28"/>
          <w:szCs w:val="28"/>
          <w:lang w:eastAsia="en-US"/>
        </w:rPr>
      </w:pPr>
      <w:r>
        <w:rPr>
          <w:rFonts w:cs="Arial" w:ascii="Times new roman" w:hAnsi="Times new roman"/>
          <w:sz w:val="28"/>
          <w:szCs w:val="28"/>
          <w:lang w:eastAsia="en-US"/>
        </w:rPr>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lang w:eastAsia="en-US"/>
        </w:rPr>
        <w:t>A listagem do cadastro de reserva referente ao presente registro de preços consta como anexo a esta Ata.</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ÓRGÃO(S) GERENCIADOR E PARTICIPANTE(S)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órgão gerenciador será o Parque Regional de manutenç</w:t>
      </w:r>
      <w:r>
        <w:rPr>
          <w:rFonts w:cs="Arial" w:ascii="Times new roman" w:hAnsi="Times new roman"/>
          <w:sz w:val="28"/>
          <w:szCs w:val="28"/>
        </w:rPr>
        <w:t>ão 7° RM</w:t>
      </w:r>
    </w:p>
    <w:p>
      <w:pPr>
        <w:pStyle w:val="Nvel2-Red"/>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Além do gerenciador, são órgãos e entidades públicas participantes do registro de preços:</w:t>
      </w:r>
    </w:p>
    <w:tbl>
      <w:tblPr>
        <w:tblW w:w="897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2265"/>
        <w:gridCol w:w="3285"/>
        <w:gridCol w:w="1650"/>
        <w:gridCol w:w="1777"/>
      </w:tblGrid>
      <w:tr>
        <w:trPr/>
        <w:tc>
          <w:tcPr>
            <w:tcW w:w="2265" w:type="dxa"/>
            <w:tcBorders>
              <w:top w:val="single" w:sz="4" w:space="0" w:color="000000"/>
              <w:left w:val="single" w:sz="4" w:space="0" w:color="000000"/>
              <w:bottom w:val="single" w:sz="4"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Item</w:t>
            </w:r>
          </w:p>
        </w:tc>
        <w:tc>
          <w:tcPr>
            <w:tcW w:w="3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Órgãos Participantes</w:t>
            </w:r>
          </w:p>
        </w:tc>
        <w:tc>
          <w:tcPr>
            <w:tcW w:w="16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Unidade</w:t>
            </w:r>
          </w:p>
        </w:tc>
        <w:tc>
          <w:tcPr>
            <w:tcW w:w="1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Quantidade</w:t>
            </w:r>
          </w:p>
        </w:tc>
      </w:tr>
    </w:tbl>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DA ADESÃO À ATA DE REGISTRO DE PREÇOS </w:t>
      </w:r>
      <w:r>
        <w:rPr>
          <w:rFonts w:ascii="Times new roman" w:hAnsi="Times new roman"/>
          <w:i/>
          <w:strike/>
          <w:color w:val="FF0000"/>
          <w:sz w:val="28"/>
          <w:szCs w:val="28"/>
        </w:rPr>
        <w:t>(item obrigatório)</w:t>
      </w:r>
    </w:p>
    <w:p>
      <w:pPr>
        <w:pStyle w:val="Nvel2-Red"/>
        <w:numPr>
          <w:ilvl w:val="1"/>
          <w:numId w:val="1"/>
        </w:numPr>
        <w:spacing w:lineRule="auto" w:line="360" w:before="0" w:after="170"/>
        <w:ind w:hanging="0" w:left="0" w:right="0"/>
        <w:rPr>
          <w:rFonts w:ascii="Times new roman" w:hAnsi="Times new roman"/>
          <w:strike/>
          <w:sz w:val="28"/>
          <w:szCs w:val="28"/>
        </w:rPr>
      </w:pPr>
      <w:r>
        <w:rPr>
          <w:rFonts w:ascii="Times new roman" w:hAnsi="Times new roman"/>
          <w:strike/>
          <w:sz w:val="28"/>
          <w:szCs w:val="28"/>
          <w:lang w:eastAsia="en-US"/>
        </w:rPr>
        <w:t xml:space="preserve"> </w:t>
      </w:r>
      <w:r>
        <w:rPr>
          <w:rFonts w:ascii="Times new roman" w:hAnsi="Times new roman"/>
          <w:strike/>
          <w:sz w:val="28"/>
          <w:szCs w:val="28"/>
          <w:lang w:eastAsia="en-US"/>
        </w:rPr>
        <w:t>Não será admitida a adesão à ata de registro de preços decorrente desta licitação ou desta contratação direta, conforme justificativa apresentada nos estudos técnicos preliminares.</w:t>
      </w:r>
    </w:p>
    <w:p>
      <w:pPr>
        <w:pStyle w:val="ou"/>
        <w:spacing w:lineRule="auto" w:line="360" w:before="0" w:after="170"/>
        <w:ind w:hanging="0" w:left="0" w:right="0"/>
        <w:rPr>
          <w:rFonts w:ascii="Times new roman" w:hAnsi="Times new roman"/>
          <w:strike/>
          <w:sz w:val="28"/>
          <w:szCs w:val="28"/>
        </w:rPr>
      </w:pPr>
      <w:r>
        <w:rPr>
          <w:rFonts w:ascii="Times new roman" w:hAnsi="Times new roman"/>
          <w:strike/>
          <w:sz w:val="28"/>
          <w:szCs w:val="28"/>
        </w:rPr>
        <w:t>OU</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apresentação de justificativa da vantagem da adesão, inclusive em situações de provável desabastecimento ou descontinuidade de serviço público;</w:t>
      </w:r>
    </w:p>
    <w:p>
      <w:pPr>
        <w:pStyle w:val="Nvel3-R"/>
        <w:numPr>
          <w:ilvl w:val="2"/>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demonstração de que os valores registrados estão compatíveis com os valores praticados pelo mercado na forma do art. 23 da Lei nº 14.133, de 2021; e</w:t>
      </w:r>
    </w:p>
    <w:p>
      <w:pPr>
        <w:pStyle w:val="Nvel3-R"/>
        <w:numPr>
          <w:ilvl w:val="2"/>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consulta e aceitação prévias do órgão ou da entidade gerenciadora e do fornecedor.</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A autorização do órgão ou entidade gerenciadora apenas será realizada após a aceitação da adesão pelo fornecedor.</w:t>
      </w:r>
    </w:p>
    <w:p>
      <w:pPr>
        <w:pStyle w:val="Nvel3-R"/>
        <w:numPr>
          <w:ilvl w:val="2"/>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O órgão ou entidade gerenciadora poderá rejeitar adesões caso elas possam acarretar prejuízo à execução de seus próprios contratos ou à sua capacidade de gerenciamento.</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Dos limites para as adesões</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Para aquisição emergencial de medicamentos e material de consumo médico-hospitalar por órgãos e en</w:t>
      </w:r>
      <w:r>
        <w:rPr>
          <w:rFonts w:eastAsia="Arial" w:ascii="Times new roman" w:hAnsi="Times new roman"/>
          <w:color w:val="000000"/>
          <w:sz w:val="28"/>
          <w:szCs w:val="28"/>
        </w:rPr>
        <w:t>ti</w:t>
      </w:r>
      <w:r>
        <w:rPr>
          <w:rFonts w:ascii="Times new roman" w:hAnsi="Times new roman"/>
          <w:color w:val="000000"/>
          <w:sz w:val="28"/>
          <w:szCs w:val="28"/>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adesão à ata de registro de preços por órgãos e en</w:t>
      </w:r>
      <w:r>
        <w:rPr>
          <w:rFonts w:eastAsia="Arial" w:ascii="Times new roman" w:hAnsi="Times new roman"/>
          <w:sz w:val="28"/>
          <w:szCs w:val="28"/>
        </w:rPr>
        <w:t>ti</w:t>
      </w:r>
      <w:r>
        <w:rPr>
          <w:rFonts w:ascii="Times new roman" w:hAnsi="Times new roman"/>
          <w:sz w:val="28"/>
          <w:szCs w:val="28"/>
        </w:rPr>
        <w:t>dades da Administração Pública estadual, distrital e municipal poderá ser exigida para fins de transferências voluntárias, não ficando sujeita ao limite de que trata o item 4.7, desde que seja des</w:t>
      </w:r>
      <w:r>
        <w:rPr>
          <w:rFonts w:eastAsia="Arial" w:ascii="Times new roman" w:hAnsi="Times new roman"/>
          <w:sz w:val="28"/>
          <w:szCs w:val="28"/>
        </w:rPr>
        <w:t>ti</w:t>
      </w:r>
      <w:r>
        <w:rPr>
          <w:rFonts w:ascii="Times new roman" w:hAnsi="Times new roman"/>
          <w:sz w:val="28"/>
          <w:szCs w:val="28"/>
        </w:rPr>
        <w:t>nada à execução descentralizada de programa ou projeto federal e comprovada a compatibilidade dos preços registrados com os valores praticados no mercado na forma do art. 23 da Lei nº 14.133, de 2021.</w:t>
      </w:r>
    </w:p>
    <w:p>
      <w:pPr>
        <w:pStyle w:val="SubTitNN"/>
        <w:spacing w:lineRule="auto" w:line="360" w:before="0" w:after="170"/>
        <w:ind w:hanging="0" w:left="0" w:right="0"/>
        <w:rPr>
          <w:rFonts w:ascii="Times new roman" w:hAnsi="Times new roman"/>
          <w:sz w:val="28"/>
          <w:szCs w:val="28"/>
        </w:rPr>
      </w:pPr>
      <w:r>
        <w:rPr>
          <w:rFonts w:ascii="Times new roman" w:hAnsi="Times new roman"/>
          <w:sz w:val="28"/>
          <w:szCs w:val="28"/>
        </w:rPr>
        <w:t>Vedação a acréscimo de quantitativos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É vedado efetuar acréscimos nos quantitativos fixados na ata de registro de preços.</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VALIDADE, FORMALIZAÇÃO DA ATA DE REGISTRO DE PREÇOS E CADASTRO RESERVA</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validade da Ata de Registro de Preços será de 1 (um) ano, contado a partir do prim</w:t>
      </w:r>
      <w:r>
        <w:rPr>
          <w:rFonts w:ascii="Times new roman" w:hAnsi="Times new roman"/>
          <w:color w:val="000000"/>
          <w:sz w:val="28"/>
          <w:szCs w:val="28"/>
        </w:rPr>
        <w:t>eiro dia útil subsequente à data de divulgação no PNCP, podendo ser prorrogada por igual período, mediante a anuência do fornecedor, desde que comprovado o preço vantajoso.</w:t>
      </w:r>
    </w:p>
    <w:p>
      <w:pPr>
        <w:pStyle w:val="Nvel3-R"/>
        <w:numPr>
          <w:ilvl w:val="2"/>
          <w:numId w:val="1"/>
        </w:numPr>
        <w:spacing w:lineRule="auto" w:line="360" w:before="0" w:after="170"/>
        <w:ind w:hanging="0" w:left="0" w:right="0"/>
        <w:rPr>
          <w:rFonts w:ascii="Times new roman" w:hAnsi="Times new roman"/>
          <w:color w:val="000000"/>
          <w:sz w:val="28"/>
          <w:szCs w:val="28"/>
          <w:highlight w:val="none"/>
          <w:shd w:fill="auto" w:val="clear"/>
        </w:rPr>
      </w:pPr>
      <w:r>
        <w:rPr>
          <w:rFonts w:ascii="Times new roman" w:hAnsi="Times new roman"/>
          <w:i w:val="false"/>
          <w:iCs w:val="false"/>
          <w:color w:val="000000"/>
          <w:sz w:val="28"/>
          <w:szCs w:val="28"/>
          <w:shd w:fill="auto" w:val="clear"/>
        </w:rPr>
        <w:t xml:space="preserve">Em caso de prorrogação da ata, </w:t>
      </w:r>
      <w:r>
        <w:rPr>
          <w:rFonts w:ascii="Times new roman" w:hAnsi="Times new roman"/>
          <w:color w:val="000000"/>
          <w:sz w:val="28"/>
          <w:szCs w:val="28"/>
          <w:shd w:fill="auto" w:val="clear"/>
        </w:rPr>
        <w:t xml:space="preserve">poderá </w:t>
      </w:r>
      <w:r>
        <w:rPr>
          <w:rFonts w:ascii="Times new roman" w:hAnsi="Times new roman"/>
          <w:i w:val="false"/>
          <w:iCs w:val="false"/>
          <w:color w:val="000000"/>
          <w:sz w:val="28"/>
          <w:szCs w:val="28"/>
          <w:shd w:fill="auto" w:val="clear"/>
        </w:rPr>
        <w:t>ser renovado o quantitativo originalmente registrado.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formalização do contrato ou do instrumento substituto deverá haver a indicação da disponibilidade dos créditos orçamentários respectivos.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contratação com os fornecedores registrados na ata será formalizada pelo órgão ou pela en</w:t>
      </w:r>
      <w:r>
        <w:rPr>
          <w:rFonts w:eastAsia="Arial" w:ascii="Times new roman" w:hAnsi="Times new roman"/>
          <w:sz w:val="28"/>
          <w:szCs w:val="28"/>
        </w:rPr>
        <w:t>ti</w:t>
      </w:r>
      <w:r>
        <w:rPr>
          <w:rFonts w:ascii="Times new roman" w:hAnsi="Times new roman"/>
          <w:sz w:val="28"/>
          <w:szCs w:val="28"/>
        </w:rPr>
        <w:t>dade interessada por intermédio de instrumento contratual, emissão de nota de empenho de despesa, autorização de compra ou outro instrumento hábil, conforme o art. 95 da Lei nº 14.133, de 2021.</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O instrumento contratual de que trata o item 5.2. deverá ser assinado no prazo de validade da ata de registro de preços.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Os contratos decorrentes do sistema de registro de preços poderão ser alterados, observado o art. 124 da Lei nº 14.133, de 2021.</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Após a homologação da licitação ou da contratação direta, deverão ser observadas as seguintes condições para formalização da ata de registro de preços:</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Serão registrados na ata os preços e os quantita</w:t>
      </w:r>
      <w:r>
        <w:rPr>
          <w:rFonts w:eastAsia="Arial" w:ascii="Times new roman" w:hAnsi="Times new roman"/>
          <w:sz w:val="28"/>
          <w:szCs w:val="28"/>
        </w:rPr>
        <w:t>ti</w:t>
      </w:r>
      <w:r>
        <w:rPr>
          <w:rFonts w:ascii="Times new roman" w:hAnsi="Times new roman"/>
          <w:sz w:val="28"/>
          <w:szCs w:val="28"/>
        </w:rPr>
        <w:t>vos do adjudicatário, devendo ser observada a possibilidade de o licitante oferecer ou não proposta em quantitativo inferior ao máximo previsto no</w:t>
      </w:r>
      <w:r>
        <w:rPr>
          <w:rFonts w:ascii="Times new roman" w:hAnsi="Times new roman"/>
          <w:i/>
          <w:iCs/>
          <w:sz w:val="28"/>
          <w:szCs w:val="28"/>
        </w:rPr>
        <w:t xml:space="preserve"> </w:t>
      </w:r>
      <w:r>
        <w:rPr>
          <w:rFonts w:ascii="Times new roman" w:hAnsi="Times new roman"/>
          <w:i/>
          <w:color w:val="FF0000"/>
          <w:sz w:val="28"/>
          <w:szCs w:val="28"/>
        </w:rPr>
        <w:t xml:space="preserve">edital </w:t>
      </w:r>
      <w:r>
        <w:rPr>
          <w:rFonts w:ascii="Times new roman" w:hAnsi="Times new roman"/>
          <w:sz w:val="28"/>
          <w:szCs w:val="28"/>
        </w:rPr>
        <w:t>e se obrigar nos limites dela;</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Será incluído na ata, na forma de anexo, o registro dos licitantes ou dos fornecedores que:</w:t>
      </w:r>
    </w:p>
    <w:p>
      <w:pPr>
        <w:pStyle w:val="Nvel4"/>
        <w:numPr>
          <w:ilvl w:val="3"/>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Aceitarem cotar os bens, as obras ou os serviços com preços iguais aos do adjudicatário, observada a classificação da licitação; e </w:t>
      </w:r>
    </w:p>
    <w:p>
      <w:pPr>
        <w:pStyle w:val="Nvel4"/>
        <w:numPr>
          <w:ilvl w:val="3"/>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Mantiverem sua proposta original. </w:t>
      </w:r>
      <w:bookmarkStart w:id="0" w:name="cadastro_reserva"/>
      <w:bookmarkEnd w:id="0"/>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Será respeitada, nas contratações, a ordem de classificação dos licitantes ou dos fornecedores registrados na ata.</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registro a que se refere o item 5.4.2</w:t>
      </w:r>
      <w:r>
        <w:rPr>
          <w:rFonts w:ascii="Times new roman" w:hAnsi="Times new roman"/>
          <w:b/>
          <w:bCs/>
          <w:sz w:val="28"/>
          <w:szCs w:val="28"/>
        </w:rPr>
        <w:t xml:space="preserve"> </w:t>
      </w:r>
      <w:r>
        <w:rPr>
          <w:rFonts w:ascii="Times new roman" w:hAnsi="Times new roman"/>
          <w:sz w:val="28"/>
          <w:szCs w:val="28"/>
        </w:rPr>
        <w:t>tem por obje</w:t>
      </w:r>
      <w:r>
        <w:rPr>
          <w:rFonts w:eastAsia="Arial" w:ascii="Times new roman" w:hAnsi="Times new roman"/>
          <w:sz w:val="28"/>
          <w:szCs w:val="28"/>
        </w:rPr>
        <w:t>ti</w:t>
      </w:r>
      <w:r>
        <w:rPr>
          <w:rFonts w:ascii="Times new roman" w:hAnsi="Times new roman"/>
          <w:sz w:val="28"/>
          <w:szCs w:val="28"/>
        </w:rPr>
        <w:t>vo a formação de cadastro de reserva para o caso de impossibilidade de atendimento pelo signatário da ata.</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Para fins da ordem de classificação, os licitantes ou fornecedores que aceitarem reduzir suas propostas para o preço do adjudicatário antecederão aqueles que mantiverem sua proposta original.</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A habilitação dos licitantes que comporão o cadastro de reserva a que se refere o item </w:t>
      </w:r>
      <w:r>
        <w:rPr>
          <w:rFonts w:ascii="Times new roman" w:hAnsi="Times new roman"/>
          <w:sz w:val="28"/>
          <w:szCs w:val="28"/>
        </w:rPr>
        <w:fldChar w:fldCharType="begin"/>
      </w:r>
      <w:r>
        <w:rPr>
          <w:sz w:val="28"/>
          <w:szCs w:val="28"/>
          <w:rFonts w:ascii="Times new roman" w:hAnsi="Times new roman"/>
        </w:rPr>
        <w:instrText xml:space="preserve"> REF cadastro_reserva \r \r \h </w:instrText>
      </w:r>
      <w:r>
        <w:rPr>
          <w:sz w:val="28"/>
          <w:szCs w:val="28"/>
          <w:rFonts w:ascii="Times new roman" w:hAnsi="Times new roman"/>
        </w:rPr>
        <w:fldChar w:fldCharType="separate"/>
      </w:r>
      <w:r>
        <w:rPr>
          <w:sz w:val="28"/>
          <w:szCs w:val="28"/>
          <w:rFonts w:ascii="Times new roman" w:hAnsi="Times new roman"/>
        </w:rPr>
        <w:t>5.4.2.2</w:t>
      </w:r>
      <w:r>
        <w:rPr>
          <w:sz w:val="28"/>
          <w:szCs w:val="28"/>
          <w:rFonts w:ascii="Times new roman" w:hAnsi="Times new roman"/>
        </w:rPr>
        <w:fldChar w:fldCharType="end"/>
      </w:r>
      <w:r>
        <w:rPr>
          <w:rFonts w:ascii="Times new roman" w:hAnsi="Times new roman"/>
          <w:sz w:val="28"/>
          <w:szCs w:val="28"/>
        </w:rPr>
        <w:t xml:space="preserve"> somente será efetuada quando houver necessidade de contratação dos licitantes remanescentes, nas seguintes hipóteses:</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Quando o licitante vencedor não assinar a ata de registro de preços, no prazo e nas condições estabelecidos no</w:t>
      </w:r>
      <w:r>
        <w:rPr>
          <w:rFonts w:ascii="Times new roman" w:hAnsi="Times new roman"/>
          <w:i/>
          <w:iCs/>
          <w:sz w:val="28"/>
          <w:szCs w:val="28"/>
        </w:rPr>
        <w:t xml:space="preserve"> </w:t>
      </w:r>
      <w:r>
        <w:rPr>
          <w:rFonts w:ascii="Times new roman" w:hAnsi="Times new roman"/>
          <w:i/>
          <w:color w:val="FF0000"/>
          <w:sz w:val="28"/>
          <w:szCs w:val="28"/>
        </w:rPr>
        <w:t xml:space="preserve">edital </w:t>
      </w:r>
      <w:r>
        <w:rPr>
          <w:rFonts w:ascii="Times new roman" w:hAnsi="Times new roman"/>
          <w:i/>
          <w:iCs/>
          <w:color w:val="FF0000"/>
          <w:sz w:val="28"/>
          <w:szCs w:val="28"/>
        </w:rPr>
        <w:t>;</w:t>
      </w:r>
      <w:r>
        <w:rPr>
          <w:rFonts w:ascii="Times new roman" w:hAnsi="Times new roman"/>
          <w:color w:val="FF0000"/>
          <w:sz w:val="28"/>
          <w:szCs w:val="28"/>
        </w:rPr>
        <w:t xml:space="preserve"> </w:t>
      </w:r>
      <w:r>
        <w:rPr>
          <w:rFonts w:ascii="Times new roman" w:hAnsi="Times new roman"/>
          <w:sz w:val="28"/>
          <w:szCs w:val="28"/>
        </w:rPr>
        <w:t>e</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Quando houver o cancelamento do registro do licitante ou do registro de preços nas hipóteses previstas no item </w:t>
      </w:r>
      <w:r>
        <w:rPr>
          <w:rFonts w:ascii="Times new roman" w:hAnsi="Times new roman"/>
          <w:sz w:val="28"/>
          <w:szCs w:val="28"/>
        </w:rPr>
        <w:fldChar w:fldCharType="begin"/>
      </w:r>
      <w:r>
        <w:rPr>
          <w:sz w:val="28"/>
          <w:szCs w:val="28"/>
          <w:rFonts w:ascii="Times new roman" w:hAnsi="Times new roman"/>
        </w:rPr>
        <w:instrText xml:space="preserve"> REF cancelamento \r \r \h </w:instrText>
      </w:r>
      <w:r>
        <w:rPr>
          <w:sz w:val="28"/>
          <w:szCs w:val="28"/>
          <w:rFonts w:ascii="Times new roman" w:hAnsi="Times new roman"/>
        </w:rPr>
        <w:fldChar w:fldCharType="separate"/>
      </w:r>
      <w:r>
        <w:rPr>
          <w:sz w:val="28"/>
          <w:szCs w:val="28"/>
          <w:rFonts w:ascii="Times new roman" w:hAnsi="Times new roman"/>
        </w:rPr>
        <w:t>9</w:t>
      </w:r>
      <w:r>
        <w:rPr>
          <w:sz w:val="28"/>
          <w:szCs w:val="28"/>
          <w:rFonts w:ascii="Times new roman" w:hAnsi="Times new roman"/>
        </w:rPr>
        <w:fldChar w:fldCharType="end"/>
      </w:r>
      <w:r>
        <w:rPr>
          <w:rFonts w:ascii="Times new roman" w:hAnsi="Times new roman"/>
          <w:sz w:val="28"/>
          <w:szCs w:val="28"/>
        </w:rPr>
        <w:t>.</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preço registrado com indicação dos licitantes e fornecedores será divulgado no PNCP e ficará disponibilizado durante a vigência da ata de registro de preços.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ata de registro de preços será assinada por meio de assinatura digital e disponibilizada no Sistema de Registro de Preços.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Quando o convocado não assinar a ata de registro de preços no prazo e nas condições estabelecidos no edital ou no aviso de contratação, e observado o disposto no item ,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nenhum dos licitantes que trata o item 5.4.2.1, aceitar a contratação nos termos do item anterior, a Administração, observados o valor es</w:t>
      </w:r>
      <w:r>
        <w:rPr>
          <w:rFonts w:eastAsia="Arial" w:ascii="Times new roman" w:hAnsi="Times new roman"/>
          <w:sz w:val="28"/>
          <w:szCs w:val="28"/>
        </w:rPr>
        <w:t>ti</w:t>
      </w:r>
      <w:r>
        <w:rPr>
          <w:rFonts w:ascii="Times new roman" w:hAnsi="Times new roman"/>
          <w:sz w:val="28"/>
          <w:szCs w:val="28"/>
        </w:rPr>
        <w:t xml:space="preserve">mado e sua eventual atualização nos termos do </w:t>
      </w:r>
      <w:r>
        <w:rPr>
          <w:rFonts w:ascii="Times new roman" w:hAnsi="Times new roman"/>
          <w:i/>
          <w:color w:val="FF0000"/>
          <w:sz w:val="28"/>
          <w:szCs w:val="28"/>
        </w:rPr>
        <w:t>edital</w:t>
      </w:r>
      <w:r>
        <w:rPr>
          <w:rFonts w:ascii="Times new roman" w:hAnsi="Times new roman"/>
          <w:sz w:val="28"/>
          <w:szCs w:val="28"/>
        </w:rPr>
        <w:t>, poderá:</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Adjudicar e firmar o contrato nas condições ofertadas pelos licitantes ou fornecedores remanescentes, atendida a ordem classificatória, quando frustrada a negociação de melhor condição.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ALTERAÇÃO OU ATUALIZAÇÃO DOS PREÇOS REGISTRADOS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Os preços registrados poderão ser alterados ou atualizados em decorrência de eventual redução dos preços pra</w:t>
      </w:r>
      <w:r>
        <w:rPr>
          <w:rFonts w:eastAsia="Calibri" w:ascii="Times new roman" w:hAnsi="Times new roman"/>
          <w:sz w:val="28"/>
          <w:szCs w:val="28"/>
        </w:rPr>
        <w:t>ti</w:t>
      </w:r>
      <w:r>
        <w:rPr>
          <w:rFonts w:ascii="Times new roman" w:hAnsi="Times new roman"/>
          <w:sz w:val="28"/>
          <w:szCs w:val="28"/>
        </w:rPr>
        <w:t>cados no mercado ou de fato que eleve o custo dos bens, das obras ou dos serviços registrados, nas seguintes situações:</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ascii="Times new roman" w:hAnsi="Times new roman"/>
          <w:color w:val="0000EF"/>
          <w:sz w:val="28"/>
          <w:szCs w:val="28"/>
        </w:rPr>
        <w:t>;</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Em caso de criação, alteração ou ex</w:t>
      </w:r>
      <w:r>
        <w:rPr>
          <w:rFonts w:eastAsia="Calibri" w:ascii="Times new roman" w:hAnsi="Times new roman"/>
          <w:sz w:val="28"/>
          <w:szCs w:val="28"/>
        </w:rPr>
        <w:t>ti</w:t>
      </w:r>
      <w:r>
        <w:rPr>
          <w:rFonts w:ascii="Times new roman" w:hAnsi="Times new roman"/>
          <w:sz w:val="28"/>
          <w:szCs w:val="28"/>
        </w:rPr>
        <w:t xml:space="preserve">nção de quaisquer tributos ou encargos legais ou a superveniência de disposições legais, com comprovada repercussão sobre os preços registrados; </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previsão no edital ou no aviso de contratação direta de cláusula de reajustamento ou repactuação sobre os preços registrados, nos termos da Lei nº 14.133, de 2021.</w:t>
      </w:r>
    </w:p>
    <w:p>
      <w:pPr>
        <w:pStyle w:val="Nvel4"/>
        <w:numPr>
          <w:ilvl w:val="3"/>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No caso do reajustamento, deverá ser respeitada a contagem da anualidade e o índice previstos para a contratação;  </w:t>
      </w:r>
    </w:p>
    <w:p>
      <w:pPr>
        <w:pStyle w:val="Nvel4"/>
        <w:numPr>
          <w:ilvl w:val="3"/>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No caso da repactuação, poderá ser a pedido do interessado, conforme critérios definidos para a contratação.</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NEGOCIAÇÃO DE PREÇOS REGISTRADOS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o preço registrado tornar-se superior ao preço pra</w:t>
      </w:r>
      <w:r>
        <w:rPr>
          <w:rFonts w:eastAsia="Calibri" w:ascii="Times new roman" w:hAnsi="Times new roman"/>
          <w:sz w:val="28"/>
          <w:szCs w:val="28"/>
        </w:rPr>
        <w:t>ti</w:t>
      </w:r>
      <w:r>
        <w:rPr>
          <w:rFonts w:ascii="Times new roman" w:hAnsi="Times new roman"/>
          <w:sz w:val="28"/>
          <w:szCs w:val="28"/>
        </w:rPr>
        <w:t>cado no mercado por mo</w:t>
      </w:r>
      <w:r>
        <w:rPr>
          <w:rFonts w:eastAsia="Calibri" w:ascii="Times new roman" w:hAnsi="Times new roman"/>
          <w:sz w:val="28"/>
          <w:szCs w:val="28"/>
        </w:rPr>
        <w:t>ti</w:t>
      </w:r>
      <w:r>
        <w:rPr>
          <w:rFonts w:ascii="Times new roman" w:hAnsi="Times new roman"/>
          <w:sz w:val="28"/>
          <w:szCs w:val="28"/>
        </w:rPr>
        <w:t>vo superveniente, o órgão ou en</w:t>
      </w:r>
      <w:r>
        <w:rPr>
          <w:rFonts w:eastAsia="Calibri" w:ascii="Times new roman" w:hAnsi="Times new roman"/>
          <w:sz w:val="28"/>
          <w:szCs w:val="28"/>
        </w:rPr>
        <w:t>ti</w:t>
      </w:r>
      <w:r>
        <w:rPr>
          <w:rFonts w:ascii="Times new roman" w:hAnsi="Times new roman"/>
          <w:sz w:val="28"/>
          <w:szCs w:val="28"/>
        </w:rPr>
        <w:t>dade gerenciadora convocará o fornecedor para negociar a redução do preço registrado.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Caso não aceite reduzir seu preço aos valores pra</w:t>
      </w:r>
      <w:r>
        <w:rPr>
          <w:rFonts w:eastAsia="Calibri" w:ascii="Times new roman" w:hAnsi="Times new roman"/>
          <w:sz w:val="28"/>
          <w:szCs w:val="28"/>
        </w:rPr>
        <w:t>ti</w:t>
      </w:r>
      <w:r>
        <w:rPr>
          <w:rFonts w:ascii="Times new roman" w:hAnsi="Times new roman"/>
          <w:sz w:val="28"/>
          <w:szCs w:val="28"/>
        </w:rPr>
        <w:t>cados pelo mercado, o fornecedor será liberado do compromisso assumido quanto ao item registrado, sem aplicação de penalidades administrativas.</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Se não obtiver êxito nas negociações, o órgão ou en</w:t>
      </w:r>
      <w:r>
        <w:rPr>
          <w:rFonts w:eastAsia="Calibri" w:ascii="Times new roman" w:hAnsi="Times new roman"/>
          <w:sz w:val="28"/>
          <w:szCs w:val="28"/>
        </w:rPr>
        <w:t>tid</w:t>
      </w:r>
      <w:r>
        <w:rPr>
          <w:rFonts w:ascii="Times new roman" w:hAnsi="Times new roman"/>
          <w:sz w:val="28"/>
          <w:szCs w:val="28"/>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spacing w:lineRule="auto" w:line="360" w:before="0" w:after="170"/>
        <w:ind w:hanging="0" w:left="0" w:right="0"/>
        <w:rPr>
          <w:rFonts w:ascii="Times new roman" w:hAnsi="Times new roman"/>
          <w:sz w:val="28"/>
          <w:szCs w:val="28"/>
        </w:rPr>
      </w:pPr>
      <w:r>
        <w:rPr>
          <w:rFonts w:cs="Calibri" w:ascii="Times new roman" w:hAnsi="Times new roman"/>
          <w:sz w:val="28"/>
          <w:szCs w:val="28"/>
        </w:rPr>
        <w:t>Na hipótese de</w:t>
      </w:r>
      <w:r>
        <w:rPr>
          <w:rFonts w:ascii="Times new roman" w:hAnsi="Times new roman"/>
          <w:sz w:val="28"/>
          <w:szCs w:val="28"/>
        </w:rPr>
        <w:t xml:space="preserve"> redução do preço registrado, o gerenciador comunicará aos órgãos e às en</w:t>
      </w:r>
      <w:r>
        <w:rPr>
          <w:rFonts w:eastAsia="Calibri" w:ascii="Times new roman" w:hAnsi="Times new roman"/>
          <w:sz w:val="28"/>
          <w:szCs w:val="28"/>
        </w:rPr>
        <w:t>ti</w:t>
      </w:r>
      <w:r>
        <w:rPr>
          <w:rFonts w:ascii="Times new roman" w:hAnsi="Times new roman"/>
          <w:sz w:val="28"/>
          <w:szCs w:val="28"/>
        </w:rPr>
        <w:t xml:space="preserve">dades que </w:t>
      </w:r>
      <w:r>
        <w:rPr>
          <w:rFonts w:eastAsia="Calibri" w:ascii="Times new roman" w:hAnsi="Times new roman"/>
          <w:sz w:val="28"/>
          <w:szCs w:val="28"/>
        </w:rPr>
        <w:t>ti</w:t>
      </w:r>
      <w:r>
        <w:rPr>
          <w:rFonts w:ascii="Times new roman" w:hAnsi="Times new roman"/>
          <w:sz w:val="28"/>
          <w:szCs w:val="28"/>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não comprovação da existência de fato superveniente que inviabilize o preço registrado, o pedido será indeferido pelo órgão ou en</w:t>
      </w:r>
      <w:r>
        <w:rPr>
          <w:rFonts w:eastAsia="Calibri" w:ascii="Times new roman" w:hAnsi="Times new roman"/>
          <w:sz w:val="28"/>
          <w:szCs w:val="28"/>
        </w:rPr>
        <w:t>ti</w:t>
      </w:r>
      <w:r>
        <w:rPr>
          <w:rFonts w:ascii="Times new roman" w:hAnsi="Times new roman"/>
          <w:sz w:val="28"/>
          <w:szCs w:val="28"/>
        </w:rPr>
        <w:t xml:space="preserve">dade gerenciadora e o fornecedor deverá cumprir as obrigações estabelecidas na ata, sob pena de cancelamento do seu registro, nos termos do item </w:t>
      </w:r>
      <w:r>
        <w:rPr>
          <w:rFonts w:ascii="Times new roman" w:hAnsi="Times new roman"/>
          <w:sz w:val="28"/>
          <w:szCs w:val="28"/>
        </w:rPr>
        <w:fldChar w:fldCharType="begin"/>
      </w:r>
      <w:r>
        <w:rPr>
          <w:sz w:val="28"/>
          <w:szCs w:val="28"/>
          <w:rFonts w:ascii="Times new roman" w:hAnsi="Times new roman"/>
        </w:rPr>
        <w:instrText xml:space="preserve"> REF cancelamento_do_fornecedor \r \r \h </w:instrText>
      </w:r>
      <w:r>
        <w:rPr>
          <w:sz w:val="28"/>
          <w:szCs w:val="28"/>
          <w:rFonts w:ascii="Times new roman" w:hAnsi="Times new roman"/>
        </w:rPr>
        <w:fldChar w:fldCharType="separate"/>
      </w:r>
      <w:r>
        <w:rPr>
          <w:sz w:val="28"/>
          <w:szCs w:val="28"/>
          <w:rFonts w:ascii="Times new roman" w:hAnsi="Times new roman"/>
        </w:rPr>
        <w:t>9.1</w:t>
      </w:r>
      <w:r>
        <w:rPr>
          <w:sz w:val="28"/>
          <w:szCs w:val="28"/>
          <w:rFonts w:ascii="Times new roman" w:hAnsi="Times new roman"/>
        </w:rPr>
        <w:fldChar w:fldCharType="end"/>
      </w:r>
      <w:r>
        <w:rPr>
          <w:rFonts w:ascii="Times new roman" w:hAnsi="Times new roman"/>
          <w:sz w:val="28"/>
          <w:szCs w:val="28"/>
        </w:rPr>
        <w:t>, sem prejuízo das sanções previstas na Lei nº 14.133, de 2021, e na legislação aplicável.</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Se não obtiver êxito nas negociações, o órgão ou entidade gerenciadora procederá ao cancelamento da ata de registro de preços, nos termos do item </w:t>
      </w:r>
      <w:r>
        <w:rPr>
          <w:rFonts w:ascii="Times new roman" w:hAnsi="Times new roman"/>
          <w:sz w:val="28"/>
          <w:szCs w:val="28"/>
        </w:rPr>
        <w:fldChar w:fldCharType="begin"/>
      </w:r>
      <w:r>
        <w:rPr>
          <w:sz w:val="28"/>
          <w:szCs w:val="28"/>
          <w:rFonts w:ascii="Times new roman" w:hAnsi="Times new roman"/>
        </w:rPr>
        <w:instrText xml:space="preserve"> REF cancelamento_da_ata \r \r \h </w:instrText>
      </w:r>
      <w:r>
        <w:rPr>
          <w:sz w:val="28"/>
          <w:szCs w:val="28"/>
          <w:rFonts w:ascii="Times new roman" w:hAnsi="Times new roman"/>
        </w:rPr>
        <w:fldChar w:fldCharType="separate"/>
      </w:r>
      <w:r>
        <w:rPr>
          <w:sz w:val="28"/>
          <w:szCs w:val="28"/>
          <w:rFonts w:ascii="Times new roman" w:hAnsi="Times new roman"/>
        </w:rPr>
        <w:t>9.4</w:t>
      </w:r>
      <w:r>
        <w:rPr>
          <w:sz w:val="28"/>
          <w:szCs w:val="28"/>
          <w:rFonts w:ascii="Times new roman" w:hAnsi="Times new roman"/>
        </w:rPr>
        <w:fldChar w:fldCharType="end"/>
      </w:r>
      <w:r>
        <w:rPr>
          <w:rFonts w:ascii="Times new roman" w:hAnsi="Times new roman"/>
          <w:sz w:val="28"/>
          <w:szCs w:val="28"/>
        </w:rPr>
        <w:t>, e adotará as medidas cabíveis para a obtenção da contratação mais vantajosa.</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Na hipótese de comprovação da majoração do preço de mercado que inviabilize o preço registrado, conforme previsto no item </w:t>
      </w:r>
      <w:r>
        <w:rPr>
          <w:rFonts w:ascii="Times new roman" w:hAnsi="Times new roman"/>
          <w:sz w:val="28"/>
          <w:szCs w:val="28"/>
        </w:rPr>
        <w:fldChar w:fldCharType="begin"/>
      </w:r>
      <w:r>
        <w:rPr>
          <w:sz w:val="28"/>
          <w:szCs w:val="28"/>
          <w:rFonts w:ascii="Times new roman" w:hAnsi="Times new roman"/>
        </w:rPr>
        <w:instrText xml:space="preserve"> REF hipotese_preco_mercado_maior \r \r \h </w:instrText>
      </w:r>
      <w:r>
        <w:rPr>
          <w:sz w:val="28"/>
          <w:szCs w:val="28"/>
          <w:rFonts w:ascii="Times new roman" w:hAnsi="Times new roman"/>
        </w:rPr>
        <w:fldChar w:fldCharType="separate"/>
      </w:r>
      <w:r>
        <w:rPr>
          <w:sz w:val="28"/>
          <w:szCs w:val="28"/>
          <w:rFonts w:ascii="Times new roman" w:hAnsi="Times new roman"/>
        </w:rPr>
        <w:t>7.2</w:t>
      </w:r>
      <w:r>
        <w:rPr>
          <w:sz w:val="28"/>
          <w:szCs w:val="28"/>
          <w:rFonts w:ascii="Times new roman" w:hAnsi="Times new roman"/>
        </w:rPr>
        <w:fldChar w:fldCharType="end"/>
      </w:r>
      <w:r>
        <w:rPr>
          <w:rFonts w:ascii="Times new roman" w:hAnsi="Times new roman"/>
          <w:sz w:val="28"/>
          <w:szCs w:val="28"/>
        </w:rPr>
        <w:t xml:space="preserve"> e no item </w:t>
      </w:r>
      <w:r>
        <w:rPr>
          <w:rFonts w:ascii="Times new roman" w:hAnsi="Times new roman"/>
          <w:sz w:val="28"/>
          <w:szCs w:val="28"/>
        </w:rPr>
        <w:fldChar w:fldCharType="begin"/>
      </w:r>
      <w:r>
        <w:rPr>
          <w:sz w:val="28"/>
          <w:szCs w:val="28"/>
          <w:rFonts w:ascii="Times new roman" w:hAnsi="Times new roman"/>
        </w:rPr>
        <w:instrText xml:space="preserve"> REF prova_preco_mercado_maior \r \r \h </w:instrText>
      </w:r>
      <w:r>
        <w:rPr>
          <w:sz w:val="28"/>
          <w:szCs w:val="28"/>
          <w:rFonts w:ascii="Times new roman" w:hAnsi="Times new roman"/>
        </w:rPr>
        <w:fldChar w:fldCharType="separate"/>
      </w:r>
      <w:r>
        <w:rPr>
          <w:sz w:val="28"/>
          <w:szCs w:val="28"/>
          <w:rFonts w:ascii="Times new roman" w:hAnsi="Times new roman"/>
        </w:rPr>
        <w:t>7.2.1</w:t>
      </w:r>
      <w:r>
        <w:rPr>
          <w:sz w:val="28"/>
          <w:szCs w:val="28"/>
          <w:rFonts w:ascii="Times new roman" w:hAnsi="Times new roman"/>
        </w:rPr>
        <w:fldChar w:fldCharType="end"/>
      </w:r>
      <w:r>
        <w:rPr>
          <w:rFonts w:ascii="Times new roman" w:hAnsi="Times new roman"/>
          <w:sz w:val="28"/>
          <w:szCs w:val="28"/>
        </w:rPr>
        <w:t>, o órgão ou en</w:t>
      </w:r>
      <w:r>
        <w:rPr>
          <w:rFonts w:eastAsia="Calibri" w:ascii="Times new roman" w:hAnsi="Times new roman"/>
          <w:sz w:val="28"/>
          <w:szCs w:val="28"/>
        </w:rPr>
        <w:t>ti</w:t>
      </w:r>
      <w:r>
        <w:rPr>
          <w:rFonts w:ascii="Times new roman" w:hAnsi="Times new roman"/>
          <w:sz w:val="28"/>
          <w:szCs w:val="28"/>
        </w:rPr>
        <w:t>dade gerenciadora atualizará o preço registrado, de acordo com a realidade dos valores praticados pelo mercado.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O órgão ou en</w:t>
      </w:r>
      <w:r>
        <w:rPr>
          <w:rFonts w:eastAsia="Calibri" w:ascii="Times new roman" w:hAnsi="Times new roman"/>
          <w:sz w:val="28"/>
          <w:szCs w:val="28"/>
        </w:rPr>
        <w:t>ti</w:t>
      </w:r>
      <w:r>
        <w:rPr>
          <w:rFonts w:ascii="Times new roman" w:hAnsi="Times new roman"/>
          <w:sz w:val="28"/>
          <w:szCs w:val="28"/>
        </w:rPr>
        <w:t>dade gerenciadora comunicará aos órgãos e às en</w:t>
      </w:r>
      <w:r>
        <w:rPr>
          <w:rFonts w:eastAsia="Calibri" w:ascii="Times new roman" w:hAnsi="Times new roman"/>
          <w:sz w:val="28"/>
          <w:szCs w:val="28"/>
        </w:rPr>
        <w:t>ti</w:t>
      </w:r>
      <w:r>
        <w:rPr>
          <w:rFonts w:ascii="Times new roman" w:hAnsi="Times new roman"/>
          <w:sz w:val="28"/>
          <w:szCs w:val="28"/>
        </w:rPr>
        <w:t xml:space="preserve">dades que </w:t>
      </w:r>
      <w:r>
        <w:rPr>
          <w:rFonts w:eastAsia="Calibri" w:ascii="Times new roman" w:hAnsi="Times new roman"/>
          <w:sz w:val="28"/>
          <w:szCs w:val="28"/>
        </w:rPr>
        <w:t>ti</w:t>
      </w:r>
      <w:r>
        <w:rPr>
          <w:rFonts w:ascii="Times new roman" w:hAnsi="Times new roman"/>
          <w:sz w:val="28"/>
          <w:szCs w:val="28"/>
        </w:rPr>
        <w:t>verem firmado contratos decorrentes da ata de registro de preços sobre a efe</w:t>
      </w:r>
      <w:r>
        <w:rPr>
          <w:rFonts w:eastAsia="Calibri" w:ascii="Times new roman" w:hAnsi="Times new roman"/>
          <w:sz w:val="28"/>
          <w:szCs w:val="28"/>
        </w:rPr>
        <w:t>ti</w:t>
      </w:r>
      <w:r>
        <w:rPr>
          <w:rFonts w:ascii="Times new roman" w:hAnsi="Times new roman"/>
          <w:sz w:val="28"/>
          <w:szCs w:val="28"/>
        </w:rPr>
        <w:t>va alteração do preço registrado, para que avaliem a necessidade de alteração contratual, observado o disposto no art. 124 da Lei nº 14.133, de 2021.</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REMANEJAMENTO DAS QUANTIDADES REGISTRADAS NA ATA DE REGISTRO DE PREÇOS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As quan</w:t>
      </w:r>
      <w:r>
        <w:rPr>
          <w:rFonts w:eastAsia="Arial" w:ascii="Times new roman" w:hAnsi="Times new roman"/>
          <w:sz w:val="28"/>
          <w:szCs w:val="28"/>
        </w:rPr>
        <w:t>ti</w:t>
      </w:r>
      <w:r>
        <w:rPr>
          <w:rFonts w:ascii="Times new roman" w:hAnsi="Times new roman"/>
          <w:sz w:val="28"/>
          <w:szCs w:val="28"/>
        </w:rPr>
        <w:t>dades previstas para os itens com preços registrados nas atas de registro de preços poderão ser remanejadas pelo órgão ou en</w:t>
      </w:r>
      <w:r>
        <w:rPr>
          <w:rFonts w:eastAsia="Arial" w:ascii="Times new roman" w:hAnsi="Times new roman"/>
          <w:sz w:val="28"/>
          <w:szCs w:val="28"/>
        </w:rPr>
        <w:t>ti</w:t>
      </w:r>
      <w:r>
        <w:rPr>
          <w:rFonts w:ascii="Times new roman" w:hAnsi="Times new roman"/>
          <w:sz w:val="28"/>
          <w:szCs w:val="28"/>
        </w:rPr>
        <w:t>dade gerenciadora entre os órgãos ou as en</w:t>
      </w:r>
      <w:r>
        <w:rPr>
          <w:rFonts w:eastAsia="Arial" w:ascii="Times new roman" w:hAnsi="Times new roman"/>
          <w:sz w:val="28"/>
          <w:szCs w:val="28"/>
        </w:rPr>
        <w:t>ti</w:t>
      </w:r>
      <w:r>
        <w:rPr>
          <w:rFonts w:ascii="Times new roman" w:hAnsi="Times new roman"/>
          <w:sz w:val="28"/>
          <w:szCs w:val="28"/>
        </w:rPr>
        <w:t>dades par</w:t>
      </w:r>
      <w:r>
        <w:rPr>
          <w:rFonts w:eastAsia="Arial" w:ascii="Times new roman" w:hAnsi="Times new roman"/>
          <w:sz w:val="28"/>
          <w:szCs w:val="28"/>
        </w:rPr>
        <w:t>ti</w:t>
      </w:r>
      <w:r>
        <w:rPr>
          <w:rFonts w:ascii="Times new roman" w:hAnsi="Times new roman"/>
          <w:sz w:val="28"/>
          <w:szCs w:val="28"/>
        </w:rPr>
        <w:t>cipantes e não par</w:t>
      </w:r>
      <w:r>
        <w:rPr>
          <w:rFonts w:eastAsia="Arial" w:ascii="Times new roman" w:hAnsi="Times new roman"/>
          <w:sz w:val="28"/>
          <w:szCs w:val="28"/>
        </w:rPr>
        <w:t>ti</w:t>
      </w:r>
      <w:r>
        <w:rPr>
          <w:rFonts w:ascii="Times new roman" w:hAnsi="Times new roman"/>
          <w:sz w:val="28"/>
          <w:szCs w:val="28"/>
        </w:rPr>
        <w:t>cipantes do registro de preços.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O remanejamento somente poderá ser feito: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De órgão ou en</w:t>
      </w:r>
      <w:r>
        <w:rPr>
          <w:rFonts w:eastAsia="Arial" w:ascii="Times new roman" w:hAnsi="Times new roman"/>
          <w:sz w:val="28"/>
          <w:szCs w:val="28"/>
        </w:rPr>
        <w:t>ti</w:t>
      </w:r>
      <w:r>
        <w:rPr>
          <w:rFonts w:ascii="Times new roman" w:hAnsi="Times new roman"/>
          <w:sz w:val="28"/>
          <w:szCs w:val="28"/>
        </w:rPr>
        <w:t>dade par</w:t>
      </w:r>
      <w:r>
        <w:rPr>
          <w:rFonts w:eastAsia="Arial" w:ascii="Times new roman" w:hAnsi="Times new roman"/>
          <w:sz w:val="28"/>
          <w:szCs w:val="28"/>
        </w:rPr>
        <w:t>ti</w:t>
      </w:r>
      <w:r>
        <w:rPr>
          <w:rFonts w:ascii="Times new roman" w:hAnsi="Times new roman"/>
          <w:sz w:val="28"/>
          <w:szCs w:val="28"/>
        </w:rPr>
        <w:t>cipante para órgão ou en</w:t>
      </w:r>
      <w:r>
        <w:rPr>
          <w:rFonts w:eastAsia="Arial" w:ascii="Times new roman" w:hAnsi="Times new roman"/>
          <w:sz w:val="28"/>
          <w:szCs w:val="28"/>
        </w:rPr>
        <w:t>ti</w:t>
      </w:r>
      <w:r>
        <w:rPr>
          <w:rFonts w:ascii="Times new roman" w:hAnsi="Times new roman"/>
          <w:sz w:val="28"/>
          <w:szCs w:val="28"/>
        </w:rPr>
        <w:t>dade par</w:t>
      </w:r>
      <w:r>
        <w:rPr>
          <w:rFonts w:eastAsia="Arial" w:ascii="Times new roman" w:hAnsi="Times new roman"/>
          <w:sz w:val="28"/>
          <w:szCs w:val="28"/>
        </w:rPr>
        <w:t>ti</w:t>
      </w:r>
      <w:r>
        <w:rPr>
          <w:rFonts w:ascii="Times new roman" w:hAnsi="Times new roman"/>
          <w:sz w:val="28"/>
          <w:szCs w:val="28"/>
        </w:rPr>
        <w:t>cipante; ou</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De órgão ou en</w:t>
      </w:r>
      <w:r>
        <w:rPr>
          <w:rFonts w:eastAsia="Arial" w:ascii="Times new roman" w:hAnsi="Times new roman"/>
          <w:sz w:val="28"/>
          <w:szCs w:val="28"/>
        </w:rPr>
        <w:t>ti</w:t>
      </w:r>
      <w:r>
        <w:rPr>
          <w:rFonts w:ascii="Times new roman" w:hAnsi="Times new roman"/>
          <w:sz w:val="28"/>
          <w:szCs w:val="28"/>
        </w:rPr>
        <w:t>dade par</w:t>
      </w:r>
      <w:r>
        <w:rPr>
          <w:rFonts w:eastAsia="Arial" w:ascii="Times new roman" w:hAnsi="Times new roman"/>
          <w:sz w:val="28"/>
          <w:szCs w:val="28"/>
        </w:rPr>
        <w:t>ti</w:t>
      </w:r>
      <w:r>
        <w:rPr>
          <w:rFonts w:ascii="Times new roman" w:hAnsi="Times new roman"/>
          <w:sz w:val="28"/>
          <w:szCs w:val="28"/>
        </w:rPr>
        <w:t>cipante para órgão ou entidade não participante.</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órgão ou en</w:t>
      </w:r>
      <w:r>
        <w:rPr>
          <w:rFonts w:eastAsia="Arial" w:ascii="Times new roman" w:hAnsi="Times new roman"/>
          <w:sz w:val="28"/>
          <w:szCs w:val="28"/>
        </w:rPr>
        <w:t>ti</w:t>
      </w:r>
      <w:r>
        <w:rPr>
          <w:rFonts w:ascii="Times new roman" w:hAnsi="Times new roman"/>
          <w:sz w:val="28"/>
          <w:szCs w:val="28"/>
        </w:rPr>
        <w:t>dade gerenciadora que tiver es</w:t>
      </w:r>
      <w:r>
        <w:rPr>
          <w:rFonts w:eastAsia="Arial" w:ascii="Times new roman" w:hAnsi="Times new roman"/>
          <w:sz w:val="28"/>
          <w:szCs w:val="28"/>
        </w:rPr>
        <w:t>ti</w:t>
      </w:r>
      <w:r>
        <w:rPr>
          <w:rFonts w:ascii="Times new roman" w:hAnsi="Times new roman"/>
          <w:sz w:val="28"/>
          <w:szCs w:val="28"/>
        </w:rPr>
        <w:t>mado as quan</w:t>
      </w:r>
      <w:r>
        <w:rPr>
          <w:rFonts w:eastAsia="Arial" w:ascii="Times new roman" w:hAnsi="Times new roman"/>
          <w:sz w:val="28"/>
          <w:szCs w:val="28"/>
        </w:rPr>
        <w:t>ti</w:t>
      </w:r>
      <w:r>
        <w:rPr>
          <w:rFonts w:ascii="Times new roman" w:hAnsi="Times new roman"/>
          <w:sz w:val="28"/>
          <w:szCs w:val="28"/>
        </w:rPr>
        <w:t>dades que pretende contratar será considerado participante para efeito do remanejamento.</w:t>
      </w:r>
      <w:bookmarkStart w:id="4" w:name="gerenciador_estimador_é_partic_em_remane"/>
      <w:bookmarkEnd w:id="4"/>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remanejamento de órgão ou entidade par</w:t>
      </w:r>
      <w:r>
        <w:rPr>
          <w:rFonts w:eastAsia="Arial" w:ascii="Times new roman" w:hAnsi="Times new roman"/>
          <w:sz w:val="28"/>
          <w:szCs w:val="28"/>
        </w:rPr>
        <w:t>ti</w:t>
      </w:r>
      <w:r>
        <w:rPr>
          <w:rFonts w:ascii="Times new roman" w:hAnsi="Times new roman"/>
          <w:sz w:val="28"/>
          <w:szCs w:val="28"/>
        </w:rPr>
        <w:t>cipante para órgão ou entidade não participante, serão observados os limites previstos no art. 32 do Decreto nº 11.462, de 2023.</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Competirá ao órgão ou à en</w:t>
      </w:r>
      <w:r>
        <w:rPr>
          <w:rFonts w:eastAsia="Arial" w:ascii="Times new roman" w:hAnsi="Times new roman"/>
          <w:sz w:val="28"/>
          <w:szCs w:val="28"/>
        </w:rPr>
        <w:t>ti</w:t>
      </w:r>
      <w:r>
        <w:rPr>
          <w:rFonts w:ascii="Times new roman" w:hAnsi="Times new roman"/>
          <w:sz w:val="28"/>
          <w:szCs w:val="28"/>
        </w:rPr>
        <w:t>dade gerenciadora autorizar o remanejamento solicitado, com a redução do quan</w:t>
      </w:r>
      <w:r>
        <w:rPr>
          <w:rFonts w:eastAsia="Arial" w:ascii="Times new roman" w:hAnsi="Times new roman"/>
          <w:sz w:val="28"/>
          <w:szCs w:val="28"/>
        </w:rPr>
        <w:t>ti</w:t>
      </w:r>
      <w:r>
        <w:rPr>
          <w:rFonts w:ascii="Times new roman" w:hAnsi="Times new roman"/>
          <w:sz w:val="28"/>
          <w:szCs w:val="28"/>
        </w:rPr>
        <w:t>ta</w:t>
      </w:r>
      <w:r>
        <w:rPr>
          <w:rFonts w:eastAsia="Arial" w:ascii="Times new roman" w:hAnsi="Times new roman"/>
          <w:sz w:val="28"/>
          <w:szCs w:val="28"/>
        </w:rPr>
        <w:t>ti</w:t>
      </w:r>
      <w:r>
        <w:rPr>
          <w:rFonts w:ascii="Times new roman" w:hAnsi="Times new roman"/>
          <w:sz w:val="28"/>
          <w:szCs w:val="28"/>
        </w:rPr>
        <w:t>vo inicialmente informado pelo órgão ou pela en</w:t>
      </w:r>
      <w:r>
        <w:rPr>
          <w:rFonts w:eastAsia="Arial" w:ascii="Times new roman" w:hAnsi="Times new roman"/>
          <w:sz w:val="28"/>
          <w:szCs w:val="28"/>
        </w:rPr>
        <w:t>ti</w:t>
      </w:r>
      <w:r>
        <w:rPr>
          <w:rFonts w:ascii="Times new roman" w:hAnsi="Times new roman"/>
          <w:sz w:val="28"/>
          <w:szCs w:val="28"/>
        </w:rPr>
        <w:t>dade par</w:t>
      </w:r>
      <w:r>
        <w:rPr>
          <w:rFonts w:eastAsia="Arial" w:ascii="Times new roman" w:hAnsi="Times new roman"/>
          <w:sz w:val="28"/>
          <w:szCs w:val="28"/>
        </w:rPr>
        <w:t>ti</w:t>
      </w:r>
      <w:r>
        <w:rPr>
          <w:rFonts w:ascii="Times new roman" w:hAnsi="Times new roman"/>
          <w:sz w:val="28"/>
          <w:szCs w:val="28"/>
        </w:rPr>
        <w:t>cipante, desde que haja prévia anuência do órgão ou da en</w:t>
      </w:r>
      <w:r>
        <w:rPr>
          <w:rFonts w:eastAsia="Arial" w:ascii="Times new roman" w:hAnsi="Times new roman"/>
          <w:sz w:val="28"/>
          <w:szCs w:val="28"/>
        </w:rPr>
        <w:t>ti</w:t>
      </w:r>
      <w:r>
        <w:rPr>
          <w:rFonts w:ascii="Times new roman" w:hAnsi="Times new roman"/>
          <w:sz w:val="28"/>
          <w:szCs w:val="28"/>
        </w:rPr>
        <w:t>dade que sofrer redução dos quantitativos informados.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Caso o remanejamento seja feito entre órgãos ou en</w:t>
      </w:r>
      <w:r>
        <w:rPr>
          <w:rFonts w:eastAsia="Arial" w:ascii="Times new roman" w:hAnsi="Times new roman"/>
          <w:sz w:val="28"/>
          <w:szCs w:val="28"/>
        </w:rPr>
        <w:t>ti</w:t>
      </w:r>
      <w:r>
        <w:rPr>
          <w:rFonts w:ascii="Times new roman" w:hAnsi="Times new roman"/>
          <w:sz w:val="28"/>
          <w:szCs w:val="28"/>
        </w:rPr>
        <w:t>dades dos Estados, do Distrito Federal ou de Municípios dis</w:t>
      </w:r>
      <w:r>
        <w:rPr>
          <w:rFonts w:eastAsia="Arial" w:ascii="Times new roman" w:hAnsi="Times new roman"/>
          <w:sz w:val="28"/>
          <w:szCs w:val="28"/>
        </w:rPr>
        <w:t>ti</w:t>
      </w:r>
      <w:r>
        <w:rPr>
          <w:rFonts w:ascii="Times new roman" w:hAnsi="Times new roman"/>
          <w:sz w:val="28"/>
          <w:szCs w:val="28"/>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da compra centralizada, não havendo indicação pelo órgão ou pela en</w:t>
      </w:r>
      <w:r>
        <w:rPr>
          <w:rFonts w:eastAsia="Arial" w:ascii="Times new roman" w:hAnsi="Times new roman"/>
          <w:sz w:val="28"/>
          <w:szCs w:val="28"/>
        </w:rPr>
        <w:t>ti</w:t>
      </w:r>
      <w:r>
        <w:rPr>
          <w:rFonts w:ascii="Times new roman" w:hAnsi="Times new roman"/>
          <w:sz w:val="28"/>
          <w:szCs w:val="28"/>
        </w:rPr>
        <w:t>dade gerenciadora, dos quan</w:t>
      </w:r>
      <w:r>
        <w:rPr>
          <w:rFonts w:eastAsia="Arial" w:ascii="Times new roman" w:hAnsi="Times new roman"/>
          <w:sz w:val="28"/>
          <w:szCs w:val="28"/>
        </w:rPr>
        <w:t>ti</w:t>
      </w:r>
      <w:r>
        <w:rPr>
          <w:rFonts w:ascii="Times new roman" w:hAnsi="Times new roman"/>
          <w:sz w:val="28"/>
          <w:szCs w:val="28"/>
        </w:rPr>
        <w:t>ta</w:t>
      </w:r>
      <w:r>
        <w:rPr>
          <w:rFonts w:eastAsia="Arial" w:ascii="Times new roman" w:hAnsi="Times new roman"/>
          <w:sz w:val="28"/>
          <w:szCs w:val="28"/>
        </w:rPr>
        <w:t>ti</w:t>
      </w:r>
      <w:r>
        <w:rPr>
          <w:rFonts w:ascii="Times new roman" w:hAnsi="Times new roman"/>
          <w:sz w:val="28"/>
          <w:szCs w:val="28"/>
        </w:rPr>
        <w:t>vos dos par</w:t>
      </w:r>
      <w:r>
        <w:rPr>
          <w:rFonts w:eastAsia="Arial" w:ascii="Times new roman" w:hAnsi="Times new roman"/>
          <w:sz w:val="28"/>
          <w:szCs w:val="28"/>
        </w:rPr>
        <w:t>ti</w:t>
      </w:r>
      <w:r>
        <w:rPr>
          <w:rFonts w:ascii="Times new roman" w:hAnsi="Times new roman"/>
          <w:sz w:val="28"/>
          <w:szCs w:val="28"/>
        </w:rPr>
        <w:t xml:space="preserve">cipantes da compra centralizada, nos termos do item </w:t>
      </w:r>
      <w:r>
        <w:rPr>
          <w:rFonts w:ascii="Times new roman" w:hAnsi="Times new roman"/>
          <w:sz w:val="28"/>
          <w:szCs w:val="28"/>
        </w:rPr>
        <w:fldChar w:fldCharType="begin"/>
      </w:r>
      <w:r>
        <w:rPr>
          <w:sz w:val="28"/>
          <w:szCs w:val="28"/>
          <w:rFonts w:ascii="Times new roman" w:hAnsi="Times new roman"/>
        </w:rPr>
        <w:instrText xml:space="preserve"> REF gerenciador_estimador_é_partic_em_remane \r \r \h </w:instrText>
      </w:r>
      <w:r>
        <w:rPr>
          <w:sz w:val="28"/>
          <w:szCs w:val="28"/>
          <w:rFonts w:ascii="Times new roman" w:hAnsi="Times new roman"/>
        </w:rPr>
        <w:fldChar w:fldCharType="separate"/>
      </w:r>
      <w:r>
        <w:rPr>
          <w:sz w:val="28"/>
          <w:szCs w:val="28"/>
          <w:rFonts w:ascii="Times new roman" w:hAnsi="Times new roman"/>
        </w:rPr>
        <w:t>8.3</w:t>
      </w:r>
      <w:r>
        <w:rPr>
          <w:sz w:val="28"/>
          <w:szCs w:val="28"/>
          <w:rFonts w:ascii="Times new roman" w:hAnsi="Times new roman"/>
        </w:rPr>
        <w:fldChar w:fldCharType="end"/>
      </w:r>
      <w:r>
        <w:rPr>
          <w:rFonts w:ascii="Times new roman" w:hAnsi="Times new roman"/>
          <w:sz w:val="28"/>
          <w:szCs w:val="28"/>
        </w:rPr>
        <w:t>, a distribuição das quantidades para a execução descentralizada será por meio do remanejamento.</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CANCELAMENTO DO REGISTRO DO LICITANTE VENCEDOR E DOS PREÇOS REGISTRADOS</w:t>
      </w:r>
      <w:bookmarkStart w:id="5" w:name="cancelamento"/>
      <w:bookmarkEnd w:id="5"/>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registro do fornecedor será cancelado pelo gerenciador, quando o fornecedor:</w:t>
      </w:r>
      <w:bookmarkStart w:id="6" w:name="cancelamento_do_fornecedor"/>
      <w:bookmarkEnd w:id="6"/>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Descumprir as condições da ata de registro de preços, sem motivo justificado;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Não re</w:t>
      </w:r>
      <w:r>
        <w:rPr>
          <w:rFonts w:eastAsia="Arial" w:ascii="Times new roman" w:hAnsi="Times new roman"/>
          <w:sz w:val="28"/>
          <w:szCs w:val="28"/>
        </w:rPr>
        <w:t>ti</w:t>
      </w:r>
      <w:r>
        <w:rPr>
          <w:rFonts w:ascii="Times new roman" w:hAnsi="Times new roman"/>
          <w:sz w:val="28"/>
          <w:szCs w:val="28"/>
        </w:rPr>
        <w:t>rar a nota de empenho, ou instrumento equivalente, no prazo estabelecido pela Administração sem justificativa razoável;</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Não aceitar manter seu preço registrado, na hipótese prevista no artigo 27, § 2º, do Decreto nº 11.462, de 2023; ou</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Sofrer sanção prevista nos incisos III ou IV do caput do art. 156 da Lei nº 14.133, de 2021.</w:t>
      </w:r>
    </w:p>
    <w:p>
      <w:pPr>
        <w:pStyle w:val="Nvel4"/>
        <w:numPr>
          <w:ilvl w:val="3"/>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O cancelamento de registros nas hipóteses previstas no item </w:t>
      </w:r>
      <w:r>
        <w:rPr>
          <w:rFonts w:ascii="Times new roman" w:hAnsi="Times new roman"/>
          <w:sz w:val="28"/>
          <w:szCs w:val="28"/>
        </w:rPr>
        <w:fldChar w:fldCharType="begin"/>
      </w:r>
      <w:r>
        <w:rPr>
          <w:sz w:val="28"/>
          <w:szCs w:val="28"/>
          <w:rFonts w:ascii="Times new roman" w:hAnsi="Times new roman"/>
        </w:rPr>
        <w:instrText xml:space="preserve"> REF cancelamento_do_fornecedor \r \r \h </w:instrText>
      </w:r>
      <w:r>
        <w:rPr>
          <w:sz w:val="28"/>
          <w:szCs w:val="28"/>
          <w:rFonts w:ascii="Times new roman" w:hAnsi="Times new roman"/>
        </w:rPr>
        <w:fldChar w:fldCharType="separate"/>
      </w:r>
      <w:r>
        <w:rPr>
          <w:sz w:val="28"/>
          <w:szCs w:val="28"/>
          <w:rFonts w:ascii="Times new roman" w:hAnsi="Times new roman"/>
        </w:rPr>
        <w:t>9.1</w:t>
      </w:r>
      <w:r>
        <w:rPr>
          <w:sz w:val="28"/>
          <w:szCs w:val="28"/>
          <w:rFonts w:ascii="Times new roman" w:hAnsi="Times new roman"/>
        </w:rPr>
        <w:fldChar w:fldCharType="end"/>
      </w:r>
      <w:r>
        <w:rPr>
          <w:rFonts w:ascii="Times new roman" w:hAnsi="Times new roman"/>
          <w:sz w:val="28"/>
          <w:szCs w:val="28"/>
        </w:rPr>
        <w:t xml:space="preserve"> será formalizado por despacho do órgão ou da entidade gerenciadora, garantidos os princípios do contraditório e da ampla defesa.</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Na hipótese de cancelamento do registro do fornecedor, o órgão ou a entidade gerenciadora poderá convocar os licitantes que compõem o cadastro de reserva, observada a ordem de classificação.</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ascii="Times new roman" w:hAnsi="Times new roman"/>
          <w:sz w:val="28"/>
          <w:szCs w:val="28"/>
        </w:rPr>
        <w:t xml:space="preserve"> </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Por razão de interesse público;</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 pedido do fornecedor, decorrente de caso fortuito ou força maior; ou</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DAS PENALIDADES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O descumprimento da Ata de Registro de Preços ensejará aplicação das penalidades estabelecidas </w:t>
      </w:r>
      <w:r>
        <w:rPr>
          <w:rFonts w:ascii="Times new roman" w:hAnsi="Times new roman"/>
          <w:iCs/>
          <w:sz w:val="28"/>
          <w:szCs w:val="28"/>
        </w:rPr>
        <w:t>no</w:t>
      </w:r>
      <w:r>
        <w:rPr>
          <w:rFonts w:ascii="Times new roman" w:hAnsi="Times new roman"/>
          <w:i/>
          <w:sz w:val="28"/>
          <w:szCs w:val="28"/>
        </w:rPr>
        <w:t xml:space="preserve"> </w:t>
      </w:r>
      <w:r>
        <w:rPr>
          <w:rFonts w:ascii="Times new roman" w:hAnsi="Times new roman"/>
          <w:i/>
          <w:color w:val="FF0000"/>
          <w:sz w:val="28"/>
          <w:szCs w:val="28"/>
        </w:rPr>
        <w:t>edital</w:t>
      </w:r>
      <w:r>
        <w:rPr>
          <w:rFonts w:ascii="Times new roman" w:hAnsi="Times new roman"/>
          <w:sz w:val="28"/>
          <w:szCs w:val="28"/>
        </w:rPr>
        <w:t>.</w:t>
      </w:r>
    </w:p>
    <w:p>
      <w:pPr>
        <w:pStyle w:val="Nvel3"/>
        <w:numPr>
          <w:ilvl w:val="2"/>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CONDIÇÕES GERAIS</w:t>
      </w:r>
    </w:p>
    <w:p>
      <w:pPr>
        <w:pStyle w:val="Nivel2"/>
        <w:numPr>
          <w:ilvl w:val="1"/>
          <w:numId w:val="1"/>
        </w:numPr>
        <w:spacing w:lineRule="auto" w:line="360" w:before="0" w:after="170"/>
        <w:ind w:hanging="0" w:left="0" w:right="0"/>
        <w:rPr>
          <w:rFonts w:ascii="Times new roman" w:hAnsi="Times new roman"/>
          <w:sz w:val="28"/>
          <w:szCs w:val="28"/>
        </w:rPr>
      </w:pPr>
      <w:r>
        <w:rPr>
          <w:rFonts w:ascii="Times new roman" w:hAnsi="Times new roman"/>
          <w:sz w:val="28"/>
          <w:szCs w:val="28"/>
        </w:rPr>
        <w:t>As condições gerais de execução do objeto, tais como os prazos para entrega e recebimento, as obrigações da Administração e do fornecedor registrado, penalidades e demais condições do ajuste, encontram-se definidos no Termo de Referência, anexo a</w:t>
      </w:r>
      <w:r>
        <w:rPr>
          <w:rFonts w:ascii="Times new roman" w:hAnsi="Times new roman"/>
          <w:color w:val="000000"/>
          <w:sz w:val="28"/>
          <w:szCs w:val="28"/>
        </w:rPr>
        <w:t>o</w:t>
      </w:r>
      <w:r>
        <w:rPr>
          <w:rFonts w:ascii="Times new roman" w:hAnsi="Times new roman"/>
          <w:i/>
          <w:color w:val="000000"/>
          <w:sz w:val="28"/>
          <w:szCs w:val="28"/>
        </w:rPr>
        <w:t xml:space="preserve"> edital</w:t>
      </w:r>
      <w:r>
        <w:rPr>
          <w:rFonts w:ascii="Times new roman" w:hAnsi="Times new roman"/>
          <w:color w:val="000000"/>
          <w:sz w:val="28"/>
          <w:szCs w:val="28"/>
        </w:rPr>
        <w:t>.</w:t>
      </w:r>
    </w:p>
    <w:p>
      <w:pPr>
        <w:pStyle w:val="Nvel2-Red"/>
        <w:numPr>
          <w:ilvl w:val="1"/>
          <w:numId w:val="1"/>
        </w:numPr>
        <w:spacing w:lineRule="auto" w:line="360" w:before="0" w:after="170"/>
        <w:ind w:hanging="0" w:left="0" w:right="0"/>
        <w:rPr>
          <w:rFonts w:ascii="Times new roman" w:hAnsi="Times new roman"/>
          <w:color w:val="000000"/>
          <w:sz w:val="28"/>
          <w:szCs w:val="28"/>
        </w:rPr>
      </w:pPr>
      <w:r>
        <w:rPr>
          <w:rFonts w:ascii="Times new roman" w:hAnsi="Times new roman"/>
          <w:color w:val="000000"/>
          <w:sz w:val="28"/>
          <w:szCs w:val="28"/>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360" w:before="0" w:after="170"/>
        <w:ind w:hanging="0" w:left="0" w:right="0"/>
        <w:jc w:val="both"/>
        <w:rPr>
          <w:rFonts w:ascii="Times new roman" w:hAnsi="Times new roman"/>
          <w:sz w:val="28"/>
          <w:szCs w:val="28"/>
        </w:rPr>
      </w:pPr>
      <w:r>
        <w:rPr>
          <w:rFonts w:cs="Arial" w:ascii="Times new roman" w:hAnsi="Times new roman"/>
          <w:sz w:val="28"/>
          <w:szCs w:val="28"/>
        </w:rPr>
        <w:t xml:space="preserve">Para firmeza e validade do pactuado, a presente Ata foi lavrada em </w:t>
      </w:r>
      <w:r>
        <w:rPr>
          <w:rFonts w:cs="Arial" w:ascii="Times new roman" w:hAnsi="Times new roman"/>
          <w:color w:val="3465A4"/>
          <w:sz w:val="28"/>
          <w:szCs w:val="28"/>
        </w:rPr>
        <w:t>02 (duas)</w:t>
      </w:r>
      <w:r>
        <w:rPr>
          <w:rFonts w:cs="Arial" w:ascii="Times new roman" w:hAnsi="Times new roman"/>
          <w:sz w:val="28"/>
          <w:szCs w:val="28"/>
        </w:rPr>
        <w:t xml:space="preserve"> vias de igual teor, que, depois de lida e achada em ordem, vai assinada pelas part</w:t>
      </w:r>
      <w:r>
        <w:rPr>
          <w:rFonts w:cs="Arial" w:ascii="Times new roman" w:hAnsi="Times new roman"/>
          <w:color w:val="000000"/>
          <w:sz w:val="28"/>
          <w:szCs w:val="28"/>
        </w:rPr>
        <w:t xml:space="preserve">es </w:t>
      </w:r>
      <w:r>
        <w:rPr>
          <w:rFonts w:cs="Arial" w:ascii="Times new roman" w:hAnsi="Times new roman"/>
          <w:i/>
          <w:iCs/>
          <w:color w:val="000000"/>
          <w:sz w:val="28"/>
          <w:szCs w:val="28"/>
        </w:rPr>
        <w:t>e encaminhada cópia aos demais órgãos participantes.</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Local e data</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Assinaturas Digitais</w:t>
      </w:r>
    </w:p>
    <w:tbl>
      <w:tblPr>
        <w:tblW w:w="5000" w:type="pct"/>
        <w:jc w:val="left"/>
        <w:tblInd w:w="-5" w:type="dxa"/>
        <w:tblLayout w:type="fixed"/>
        <w:tblCellMar>
          <w:top w:w="55" w:type="dxa"/>
          <w:left w:w="55" w:type="dxa"/>
          <w:bottom w:w="55" w:type="dxa"/>
          <w:right w:w="55" w:type="dxa"/>
        </w:tblCellMar>
      </w:tblPr>
      <w:tblGrid>
        <w:gridCol w:w="4535"/>
        <w:gridCol w:w="4535"/>
      </w:tblGrid>
      <w:tr>
        <w:trPr/>
        <w:tc>
          <w:tcPr>
            <w:tcW w:w="4535" w:type="dxa"/>
            <w:tcBorders>
              <w:top w:val="single" w:sz="4" w:space="0" w:color="000000"/>
              <w:left w:val="single" w:sz="4" w:space="0" w:color="000000"/>
              <w:bottom w:val="single" w:sz="4" w:space="0" w:color="000000"/>
            </w:tcBorders>
          </w:tcPr>
          <w:p>
            <w:pPr>
              <w:pStyle w:val="Contedodatabela"/>
              <w:rPr/>
            </w:pPr>
            <w:r>
              <w:rPr/>
            </w:r>
          </w:p>
          <w:p>
            <w:pPr>
              <w:pStyle w:val="Contedodatabela"/>
              <w:rPr/>
            </w:pPr>
            <w:r>
              <w:rPr/>
            </w:r>
          </w:p>
          <w:p>
            <w:pPr>
              <w:pStyle w:val="Contedodatabela"/>
              <w:rPr/>
            </w:pPr>
            <w:r>
              <w:rPr/>
            </w:r>
          </w:p>
        </w:tc>
        <w:tc>
          <w:tcPr>
            <w:tcW w:w="4535" w:type="dxa"/>
            <w:tcBorders>
              <w:top w:val="single" w:sz="4" w:space="0" w:color="000000"/>
              <w:left w:val="single" w:sz="4" w:space="0" w:color="000000"/>
              <w:bottom w:val="single" w:sz="4" w:space="0" w:color="000000"/>
              <w:right w:val="single" w:sz="4" w:space="0" w:color="000000"/>
            </w:tcBorders>
          </w:tcPr>
          <w:p>
            <w:pPr>
              <w:pStyle w:val="Contedodatabela"/>
              <w:rPr/>
            </w:pPr>
            <w:r>
              <w:rPr/>
            </w:r>
          </w:p>
          <w:p>
            <w:pPr>
              <w:pStyle w:val="Contedodatabela"/>
              <w:rPr/>
            </w:pPr>
            <w:r>
              <w:rPr/>
            </w:r>
          </w:p>
          <w:p>
            <w:pPr>
              <w:pStyle w:val="Contedodatabela"/>
              <w:rPr/>
            </w:pPr>
            <w:r>
              <w:rPr/>
            </w:r>
          </w:p>
          <w:p>
            <w:pPr>
              <w:pStyle w:val="Contedodatabela"/>
              <w:rPr/>
            </w:pPr>
            <w:r>
              <w:rPr/>
            </w:r>
          </w:p>
        </w:tc>
      </w:tr>
      <w:tr>
        <w:trPr/>
        <w:tc>
          <w:tcPr>
            <w:tcW w:w="4535" w:type="dxa"/>
            <w:tcBorders>
              <w:left w:val="single" w:sz="4" w:space="0" w:color="000000"/>
              <w:bottom w:val="single" w:sz="4"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Representante legal do órgão gerenciador e representante legais</w:t>
            </w:r>
          </w:p>
        </w:tc>
        <w:tc>
          <w:tcPr>
            <w:tcW w:w="4535" w:type="dxa"/>
            <w:tcBorders>
              <w:left w:val="single" w:sz="4" w:space="0" w:color="000000"/>
              <w:bottom w:val="single" w:sz="4" w:space="0" w:color="000000"/>
              <w:right w:val="single" w:sz="4" w:space="0" w:color="000000"/>
            </w:tcBorders>
          </w:tcPr>
          <w:p>
            <w:pPr>
              <w:pStyle w:val="Contedodatabela"/>
              <w:jc w:val="center"/>
              <w:rPr/>
            </w:pPr>
            <w:r>
              <w:rPr/>
              <w:t>JABIS PEREIRA DOS SANTOS FILHO-TC</w:t>
              <w:br/>
              <w:br/>
              <w:t>Ordenador de Despesa da OM</w:t>
            </w:r>
          </w:p>
        </w:tc>
      </w:tr>
    </w:tbl>
    <w:p>
      <w:pPr>
        <w:pStyle w:val="Normal"/>
        <w:widowControl w:val="false"/>
        <w:spacing w:lineRule="auto" w:line="360" w:before="0" w:after="170"/>
        <w:ind w:hanging="0" w:left="0" w:right="0"/>
        <w:jc w:val="center"/>
        <w:rPr>
          <w:rFonts w:ascii="Times new roman" w:hAnsi="Times new roman" w:cs="Arial"/>
          <w:sz w:val="28"/>
          <w:szCs w:val="28"/>
        </w:rPr>
      </w:pPr>
      <w:r>
        <w:rPr>
          <w:rFonts w:cs="Arial" w:ascii="Times new roman" w:hAnsi="Times new roman"/>
          <w:sz w:val="28"/>
          <w:szCs w:val="28"/>
        </w:rPr>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 xml:space="preserve">Representante legal do órgão gerenciador e representante(s) legal(is) do(s) </w:t>
      </w:r>
      <w:r>
        <w:rPr>
          <w:rFonts w:cs="Arial" w:ascii="Times new roman" w:hAnsi="Times new roman"/>
          <w:color w:val="000000"/>
          <w:sz w:val="28"/>
          <w:szCs w:val="28"/>
        </w:rPr>
        <w:t>fornecedor(s) registrado(s)</w:t>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p>
      <w:pPr>
        <w:pStyle w:val="Normal"/>
        <w:spacing w:lineRule="auto" w:line="360" w:before="0" w:after="170"/>
        <w:ind w:hanging="0" w:left="0" w:right="0"/>
        <w:rPr>
          <w:rFonts w:ascii="Times new roman" w:hAnsi="Times new roman" w:cs="Arial"/>
          <w:color w:val="000000"/>
          <w:sz w:val="28"/>
          <w:szCs w:val="28"/>
        </w:rPr>
      </w:pPr>
      <w:r>
        <w:rPr>
          <w:rFonts w:cs="Arial" w:ascii="Times new roman" w:hAnsi="Times new roman"/>
          <w:color w:val="000000"/>
          <w:sz w:val="28"/>
          <w:szCs w:val="28"/>
        </w:rPr>
      </w:r>
      <w:r>
        <w:br w:type="page"/>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color w:val="000000"/>
          <w:sz w:val="28"/>
          <w:szCs w:val="28"/>
        </w:rPr>
        <w:t>Anexo</w:t>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color w:val="000000"/>
          <w:sz w:val="28"/>
          <w:szCs w:val="28"/>
        </w:rPr>
        <w:t>Cadastro Reserva</w:t>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color w:val="000000"/>
          <w:sz w:val="28"/>
          <w:szCs w:val="28"/>
        </w:rPr>
        <w:t>Seguindo a ordem de classificação, segue relação de fornecedores que aceitaram cotar os itens com preços iguais ao adjudicatário:</w:t>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Item</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do</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 xml:space="preserve">Fornecedor </w:t>
            </w:r>
            <w:r>
              <w:rPr>
                <w:rFonts w:cs="Arial" w:ascii="Times new roman" w:hAnsi="Times new roman"/>
                <w:i/>
                <w:color w:val="FF0000"/>
                <w:sz w:val="28"/>
                <w:szCs w:val="28"/>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X</w:t>
            </w:r>
          </w:p>
        </w:tc>
        <w:tc>
          <w:tcPr>
            <w:tcW w:w="1335"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Especificação</w:t>
            </w:r>
          </w:p>
        </w:tc>
        <w:tc>
          <w:tcPr>
            <w:tcW w:w="1254"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Marca</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(se exigida no edital)</w:t>
            </w:r>
          </w:p>
        </w:tc>
        <w:tc>
          <w:tcPr>
            <w:tcW w:w="1540"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Modelo</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(se exigido no edital)</w:t>
            </w:r>
          </w:p>
        </w:tc>
        <w:tc>
          <w:tcPr>
            <w:tcW w:w="1123"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Unidade</w:t>
            </w:r>
          </w:p>
        </w:tc>
        <w:tc>
          <w:tcPr>
            <w:tcW w:w="1119"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Quantidade</w:t>
              <w:br/>
              <w:t>Mínima</w:t>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335"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254"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540"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123"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11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r>
    </w:tbl>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color w:val="000000"/>
          <w:sz w:val="28"/>
          <w:szCs w:val="28"/>
        </w:rPr>
        <w:t>Seguindo a ordem de classificação, segue relação de fornecedores que mantiveram sua proposta original:</w:t>
      </w:r>
    </w:p>
    <w:p>
      <w:pPr>
        <w:pStyle w:val="Normal"/>
        <w:widowControl w:val="false"/>
        <w:spacing w:lineRule="auto" w:line="360" w:before="0" w:after="170"/>
        <w:ind w:hanging="0" w:left="0" w:right="0"/>
        <w:jc w:val="center"/>
        <w:rPr>
          <w:rFonts w:ascii="Times new roman" w:hAnsi="Times new roman" w:cs="Arial"/>
          <w:color w:val="000000"/>
          <w:sz w:val="28"/>
          <w:szCs w:val="28"/>
        </w:rPr>
      </w:pPr>
      <w:r>
        <w:rPr>
          <w:rFonts w:cs="Arial" w:ascii="Times new roman" w:hAnsi="Times new roman"/>
          <w:color w:val="000000"/>
          <w:sz w:val="28"/>
          <w:szCs w:val="28"/>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Item</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do</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 xml:space="preserve">Fornecedor </w:t>
            </w:r>
            <w:r>
              <w:rPr>
                <w:rFonts w:cs="Arial" w:ascii="Times new roman" w:hAnsi="Times new roman"/>
                <w:i/>
                <w:color w:val="FF0000"/>
                <w:sz w:val="28"/>
                <w:szCs w:val="28"/>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X</w:t>
            </w:r>
          </w:p>
        </w:tc>
        <w:tc>
          <w:tcPr>
            <w:tcW w:w="1335"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Especificação</w:t>
            </w:r>
          </w:p>
        </w:tc>
        <w:tc>
          <w:tcPr>
            <w:tcW w:w="1254"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Marca</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(se exigida no edital)</w:t>
            </w:r>
          </w:p>
        </w:tc>
        <w:tc>
          <w:tcPr>
            <w:tcW w:w="1540"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Modelo</w:t>
            </w:r>
          </w:p>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i/>
                <w:iCs/>
                <w:color w:val="FF0000"/>
                <w:sz w:val="28"/>
                <w:szCs w:val="28"/>
              </w:rPr>
              <w:t>(se exigido no edital)</w:t>
            </w:r>
          </w:p>
        </w:tc>
        <w:tc>
          <w:tcPr>
            <w:tcW w:w="1123"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Unidade</w:t>
            </w:r>
          </w:p>
        </w:tc>
        <w:tc>
          <w:tcPr>
            <w:tcW w:w="1119"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Quantidade</w:t>
              <w:br/>
              <w:t>Mínima</w:t>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center"/>
              <w:rPr>
                <w:rFonts w:ascii="Times new roman" w:hAnsi="Times new roman"/>
                <w:sz w:val="28"/>
                <w:szCs w:val="28"/>
              </w:rPr>
            </w:pPr>
            <w:r>
              <w:rPr>
                <w:rFonts w:cs="Arial" w:ascii="Times new roman" w:hAnsi="Times new roman"/>
                <w:sz w:val="28"/>
                <w:szCs w:val="28"/>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335"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254"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540"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123"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111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39" w:type="dxa"/>
            <w:tcBorders>
              <w:left w:val="single" w:sz="2" w:space="0" w:color="000000"/>
              <w:bottom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before="0" w:after="170"/>
              <w:ind w:hanging="0" w:left="0" w:right="0"/>
              <w:jc w:val="both"/>
              <w:rPr>
                <w:rFonts w:ascii="Times new roman" w:hAnsi="Times new roman" w:cs="Arial"/>
                <w:sz w:val="28"/>
                <w:szCs w:val="28"/>
              </w:rPr>
            </w:pPr>
            <w:r>
              <w:rPr>
                <w:rFonts w:cs="Arial" w:ascii="Times new roman" w:hAnsi="Times new roman"/>
                <w:sz w:val="28"/>
                <w:szCs w:val="28"/>
              </w:rPr>
            </w:r>
          </w:p>
        </w:tc>
      </w:tr>
    </w:tbl>
    <w:p>
      <w:pPr>
        <w:pStyle w:val="Normal"/>
        <w:widowControl w:val="false"/>
        <w:spacing w:lineRule="auto" w:line="360" w:before="0" w:after="170"/>
        <w:ind w:hanging="0" w:left="0" w:right="0"/>
        <w:jc w:val="center"/>
        <w:rPr>
          <w:rFonts w:ascii="Times new roman" w:hAnsi="Times new roman"/>
          <w:sz w:val="28"/>
          <w:szCs w:val="28"/>
        </w:rPr>
      </w:pPr>
      <w:r>
        <w:rPr>
          <w:rFonts w:ascii="Times new roman" w:hAnsi="Times new roman"/>
          <w:sz w:val="28"/>
          <w:szCs w:val="28"/>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1134" w:gutter="0" w:header="708"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Segoe UI">
    <w:charset w:val="00"/>
    <w:family w:val="roman"/>
    <w:pitch w:val="variable"/>
  </w:font>
  <w:font w:name="Liberation Sans">
    <w:altName w:val="Arial"/>
    <w:charset w:val="00"/>
    <w:family w:val="swiss"/>
    <w:pitch w:val="variable"/>
  </w:font>
  <w:font w:name="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qFormat/>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Comment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hanging="0" w:left="720"/>
      <w:contextualSpacing/>
    </w:pPr>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CommentText">
    <w:name w:val="annotation text"/>
    <w:basedOn w:val="Normal"/>
    <w:link w:val="TextodecomentrioChar"/>
    <w:unhideWhenUsed/>
    <w:qFormat/>
    <w:rsid w:val="006a7a1a"/>
    <w:pPr/>
    <w:rPr>
      <w:sz w:val="20"/>
      <w:szCs w:val="20"/>
    </w:rPr>
  </w:style>
  <w:style w:type="paragraph" w:styleId="annotationsubject">
    <w:name w:val="annotation subject"/>
    <w:basedOn w:val="CommentText"/>
    <w:next w:val="Comment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hanging="0"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user" w:default="1">
    <w:name w:val="Sem lista (user)"/>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27</TotalTime>
  <Application>LibreOffice/25.2.7.2$Windows_x86 LibreOffice_project/5cbfd1ab6520636bb5f7b99185aa69bd7456825d</Application>
  <AppVersion>15.0000</AppVersion>
  <Pages>17</Pages>
  <Words>3527</Words>
  <Characters>19438</Characters>
  <CharactersWithSpaces>22724</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dc:creator/>
  <dc:description/>
  <dc:language>pt-BR</dc:language>
  <cp:lastModifiedBy/>
  <dcterms:modified xsi:type="dcterms:W3CDTF">2026-06-01T10:15:37Z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